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אפרת ונקרט</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617441" w:rsidRDefault="0031793F" w:rsidP="007D053A">
                <w:pPr>
                  <w:suppressLineNumbers/>
                  <w:rPr>
                    <w:rFonts w:ascii="Arial" w:hAnsi="Arial"/>
                    <w:b/>
                    <w:bCs/>
                    <w:noProof w:val="0"/>
                    <w:sz w:val="26"/>
                    <w:szCs w:val="26"/>
                    <w:rtl/>
                  </w:rPr>
                </w:pPr>
                <w:r>
                  <w:rPr>
                    <w:rFonts w:ascii="Arial" w:hAnsi="Arial"/>
                    <w:b/>
                    <w:bCs/>
                    <w:noProof w:val="0"/>
                    <w:sz w:val="26"/>
                    <w:szCs w:val="26"/>
                    <w:rtl/>
                  </w:rPr>
                  <w:t>תובע</w:t>
                </w:r>
                <w:r w:rsidR="007D053A">
                  <w:rPr>
                    <w:rFonts w:ascii="Arial" w:hAnsi="Arial" w:hint="cs"/>
                    <w:b/>
                    <w:bCs/>
                    <w:noProof w:val="0"/>
                    <w:sz w:val="26"/>
                    <w:szCs w:val="26"/>
                    <w:rtl/>
                  </w:rPr>
                  <w:t>ת (משיבה)</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E11529" w:rsidP="00897DAF">
            <w:pPr>
              <w:suppressLineNumbers/>
              <w:rPr>
                <w:b/>
                <w:bCs/>
                <w:noProof w:val="0"/>
                <w:sz w:val="26"/>
                <w:szCs w:val="26"/>
              </w:rPr>
            </w:pPr>
            <w:r>
              <w:rPr>
                <w:rFonts w:ascii="Arial" w:hAnsi="Arial" w:hint="cs"/>
                <w:b/>
                <w:bCs/>
                <w:noProof w:val="0"/>
                <w:sz w:val="26"/>
                <w:szCs w:val="26"/>
                <w:rtl/>
              </w:rPr>
              <w:t>נ'</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033017" w:rsidP="007D053A">
            <w:pPr>
              <w:suppressLineNumbers/>
              <w:rPr>
                <w:rFonts w:ascii="Arial" w:hAnsi="Arial"/>
                <w:b/>
                <w:bCs/>
                <w:noProof w:val="0"/>
                <w:sz w:val="26"/>
                <w:szCs w:val="26"/>
              </w:rPr>
            </w:pPr>
            <w:sdt>
              <w:sdtPr>
                <w:rPr>
                  <w:rFonts w:ascii="Arial" w:hAnsi="Arial"/>
                  <w:b/>
                  <w:bCs/>
                  <w:noProof w:val="0"/>
                  <w:sz w:val="26"/>
                  <w:szCs w:val="26"/>
                  <w:rtl/>
                </w:rPr>
                <w:alias w:val="1184"/>
                <w:tag w:val="1184"/>
                <w:id w:val="-340621022"/>
                <w:text w:multiLine="1"/>
              </w:sdtPr>
              <w:sdtEndPr/>
              <w:sdtContent>
                <w:r w:rsidR="00064651" w:rsidRPr="007D053A">
                  <w:rPr>
                    <w:rFonts w:ascii="Arial" w:hAnsi="Arial"/>
                    <w:b/>
                    <w:bCs/>
                    <w:noProof w:val="0"/>
                    <w:sz w:val="26"/>
                    <w:szCs w:val="26"/>
                    <w:rtl/>
                  </w:rPr>
                  <w:t>נתבע</w:t>
                </w:r>
                <w:r w:rsidR="007D053A" w:rsidRPr="007D053A">
                  <w:rPr>
                    <w:rFonts w:ascii="Arial" w:hAnsi="Arial" w:hint="cs"/>
                    <w:b/>
                    <w:bCs/>
                    <w:noProof w:val="0"/>
                    <w:sz w:val="26"/>
                    <w:szCs w:val="26"/>
                    <w:rtl/>
                  </w:rPr>
                  <w:t xml:space="preserve"> (מבקש)</w:t>
                </w:r>
              </w:sdtContent>
            </w:sdt>
          </w:p>
        </w:tc>
        <w:tc>
          <w:tcPr>
            <w:tcW w:w="5571" w:type="dxa"/>
          </w:tcPr>
          <w:p w:rsidR="0094424E" w:rsidRPr="00E11529" w:rsidRDefault="00E11529" w:rsidP="00897DAF">
            <w:pPr>
              <w:suppressLineNumbers/>
              <w:rPr>
                <w:rFonts w:ascii="Arial" w:hAnsi="Arial"/>
                <w:b/>
                <w:bCs/>
                <w:noProof w:val="0"/>
                <w:sz w:val="26"/>
                <w:szCs w:val="26"/>
                <w:rtl/>
              </w:rPr>
            </w:pPr>
            <w:r w:rsidRPr="00E11529">
              <w:rPr>
                <w:rFonts w:hint="cs"/>
                <w:b/>
                <w:bCs/>
                <w:rtl/>
              </w:rPr>
              <w:t>ג'</w:t>
            </w:r>
          </w:p>
          <w:p w:rsidR="00CF6BB7" w:rsidRDefault="00CF6BB7" w:rsidP="00D44968">
            <w:pPr>
              <w:suppressLineNumbers/>
              <w:rPr>
                <w:b/>
                <w:bCs/>
                <w:noProof w:val="0"/>
                <w:sz w:val="26"/>
                <w:szCs w:val="26"/>
                <w:rtl/>
              </w:rPr>
            </w:pPr>
          </w:p>
        </w:tc>
      </w:tr>
      <w:tr w:rsidR="00CF6BB7" w:rsidTr="00280865">
        <w:trPr>
          <w:jc w:val="center"/>
        </w:trPr>
        <w:tc>
          <w:tcPr>
            <w:tcW w:w="8820" w:type="dxa"/>
            <w:gridSpan w:val="3"/>
          </w:tcPr>
          <w:p w:rsidR="00CF6BB7" w:rsidRPr="00996935" w:rsidRDefault="00CF6BB7" w:rsidP="00D44968">
            <w:pPr>
              <w:suppressLineNumbers/>
            </w:pPr>
          </w:p>
          <w:p w:rsidR="00CF6BB7" w:rsidRPr="00996935" w:rsidRDefault="00CF6BB7" w:rsidP="00D44968">
            <w:pPr>
              <w:suppressLineNumbers/>
              <w:rPr>
                <w:rtl/>
              </w:rPr>
            </w:pPr>
          </w:p>
          <w:p w:rsidR="00CF6BB7" w:rsidRPr="00996935" w:rsidRDefault="00CF6BB7" w:rsidP="00D44968">
            <w:pPr>
              <w:suppressLineNumbers/>
              <w:rPr>
                <w:rtl/>
              </w:rPr>
            </w:pPr>
          </w:p>
        </w:tc>
      </w:tr>
      <w:tr w:rsidR="00CF6BB7">
        <w:trPr>
          <w:jc w:val="center"/>
        </w:trPr>
        <w:tc>
          <w:tcPr>
            <w:tcW w:w="3249" w:type="dxa"/>
            <w:gridSpan w:val="2"/>
          </w:tcPr>
          <w:p w:rsidR="00617441" w:rsidRDefault="00617441">
            <w:pPr>
              <w:rPr>
                <w:rFonts w:ascii="David" w:eastAsia="David" w:hAnsi="David"/>
                <w:noProof w:val="0"/>
              </w:rPr>
            </w:pPr>
          </w:p>
        </w:tc>
        <w:tc>
          <w:tcPr>
            <w:tcW w:w="5571" w:type="dxa"/>
          </w:tcPr>
          <w:p w:rsidR="00617441" w:rsidRDefault="00617441">
            <w:pPr>
              <w:rPr>
                <w:b/>
                <w:bCs/>
                <w:sz w:val="26"/>
                <w:szCs w:val="26"/>
              </w:rPr>
            </w:pPr>
          </w:p>
        </w:tc>
      </w:tr>
      <w:tr w:rsidR="004C17EE" w:rsidTr="00D620FD">
        <w:trPr>
          <w:jc w:val="center"/>
        </w:trPr>
        <w:tc>
          <w:tcPr>
            <w:tcW w:w="8820" w:type="dxa"/>
            <w:gridSpan w:val="3"/>
          </w:tcPr>
          <w:p w:rsidR="00617441" w:rsidRDefault="00617441">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tbl>
      <w:tblPr>
        <w:bidiVisual/>
        <w:tblW w:w="8820" w:type="dxa"/>
        <w:jc w:val="center"/>
        <w:tblLook w:val="01E0" w:firstRow="1" w:lastRow="1" w:firstColumn="1" w:lastColumn="1" w:noHBand="0" w:noVBand="0"/>
      </w:tblPr>
      <w:tblGrid>
        <w:gridCol w:w="8820"/>
      </w:tblGrid>
      <w:tr w:rsidR="007D053A" w:rsidTr="007D053A">
        <w:trPr>
          <w:jc w:val="center"/>
        </w:trPr>
        <w:tc>
          <w:tcPr>
            <w:tcW w:w="8820" w:type="dxa"/>
          </w:tcPr>
          <w:p w:rsidR="007D053A" w:rsidRDefault="007D053A" w:rsidP="007D053A">
            <w:pPr>
              <w:bidi w:val="0"/>
              <w:spacing w:line="360" w:lineRule="auto"/>
              <w:jc w:val="center"/>
              <w:rPr>
                <w:rFonts w:ascii="Arial" w:hAnsi="Arial"/>
                <w:b/>
                <w:bCs/>
                <w:noProof w:val="0"/>
                <w:sz w:val="28"/>
                <w:szCs w:val="28"/>
                <w:u w:val="single"/>
              </w:rPr>
            </w:pPr>
            <w:bookmarkStart w:id="0" w:name="NGCSBookmark"/>
            <w:bookmarkEnd w:id="0"/>
          </w:p>
        </w:tc>
      </w:tr>
    </w:tbl>
    <w:p w:rsidR="007D053A" w:rsidRDefault="007D053A" w:rsidP="007D053A">
      <w:pPr>
        <w:spacing w:before="240" w:line="360" w:lineRule="auto"/>
        <w:jc w:val="both"/>
        <w:rPr>
          <w:rFonts w:ascii="Arial" w:hAnsi="Arial"/>
          <w:noProof w:val="0"/>
          <w:rtl/>
        </w:rPr>
      </w:pPr>
      <w:r>
        <w:rPr>
          <w:rFonts w:ascii="Arial" w:hAnsi="Arial"/>
          <w:noProof w:val="0"/>
          <w:rtl/>
        </w:rPr>
        <w:t>בפני בקשת</w:t>
      </w:r>
      <w:r>
        <w:rPr>
          <w:rFonts w:ascii="Arial" w:hAnsi="Arial" w:hint="cs"/>
          <w:noProof w:val="0"/>
          <w:rtl/>
        </w:rPr>
        <w:t xml:space="preserve"> </w:t>
      </w:r>
      <w:r>
        <w:rPr>
          <w:rFonts w:ascii="Arial" w:hAnsi="Arial"/>
          <w:noProof w:val="0"/>
          <w:rtl/>
        </w:rPr>
        <w:t xml:space="preserve">האב לסילוק על הסף של תביעה למזונותיה של הקטינה </w:t>
      </w:r>
      <w:r w:rsidR="00E11529">
        <w:rPr>
          <w:rFonts w:ascii="Arial" w:hAnsi="Arial"/>
          <w:noProof w:val="0"/>
        </w:rPr>
        <w:t>xxx</w:t>
      </w:r>
      <w:r>
        <w:rPr>
          <w:rFonts w:ascii="Arial" w:hAnsi="Arial"/>
          <w:noProof w:val="0"/>
          <w:rtl/>
        </w:rPr>
        <w:t xml:space="preserve"> (כבת חמש וחצי) בתם המשותפת של הצדדים ולמזונות משקמים עבור האם המבקשת מפאת חוסר סמכותו של בית משפט זה לדון בתביעה, שכן לטענתו</w:t>
      </w:r>
      <w:r>
        <w:rPr>
          <w:rFonts w:ascii="Arial" w:hAnsi="Arial" w:hint="cs"/>
          <w:noProof w:val="0"/>
          <w:rtl/>
        </w:rPr>
        <w:t>,</w:t>
      </w:r>
      <w:r>
        <w:rPr>
          <w:rFonts w:ascii="Arial" w:hAnsi="Arial"/>
          <w:noProof w:val="0"/>
          <w:rtl/>
        </w:rPr>
        <w:t xml:space="preserve"> הסמכות נתונה לבית הדין הרבני ולפיכך יש לסלק את התביעה על הסף.</w:t>
      </w:r>
    </w:p>
    <w:p w:rsidR="007D053A" w:rsidRDefault="007D053A" w:rsidP="00E11529">
      <w:pPr>
        <w:spacing w:before="240" w:after="240" w:line="360" w:lineRule="auto"/>
        <w:jc w:val="both"/>
        <w:rPr>
          <w:rFonts w:ascii="Arial" w:hAnsi="Arial"/>
          <w:noProof w:val="0"/>
        </w:rPr>
      </w:pPr>
      <w:r>
        <w:rPr>
          <w:rFonts w:ascii="Arial" w:hAnsi="Arial"/>
          <w:noProof w:val="0"/>
          <w:rtl/>
        </w:rPr>
        <w:t xml:space="preserve">הצדדים יהודים, נישאו </w:t>
      </w:r>
      <w:proofErr w:type="spellStart"/>
      <w:r>
        <w:rPr>
          <w:rFonts w:ascii="Arial" w:hAnsi="Arial"/>
          <w:noProof w:val="0"/>
          <w:rtl/>
        </w:rPr>
        <w:t>זל"ז</w:t>
      </w:r>
      <w:proofErr w:type="spellEnd"/>
      <w:r>
        <w:rPr>
          <w:rFonts w:ascii="Arial" w:hAnsi="Arial"/>
          <w:noProof w:val="0"/>
          <w:rtl/>
        </w:rPr>
        <w:t xml:space="preserve"> כדמו"י ביום</w:t>
      </w:r>
      <w:r>
        <w:rPr>
          <w:rFonts w:ascii="Arial" w:hAnsi="Arial"/>
          <w:noProof w:val="0"/>
        </w:rPr>
        <w:t xml:space="preserve"> </w:t>
      </w:r>
      <w:r>
        <w:rPr>
          <w:rFonts w:ascii="Arial" w:hAnsi="Arial"/>
          <w:noProof w:val="0"/>
          <w:rtl/>
        </w:rPr>
        <w:t xml:space="preserve"> </w:t>
      </w:r>
      <w:r w:rsidR="00E11529">
        <w:rPr>
          <w:rFonts w:ascii="Arial" w:hAnsi="Arial" w:hint="cs"/>
          <w:noProof w:val="0"/>
        </w:rPr>
        <w:t>XXX</w:t>
      </w:r>
      <w:r>
        <w:rPr>
          <w:rFonts w:ascii="Arial" w:hAnsi="Arial"/>
          <w:noProof w:val="0"/>
          <w:rtl/>
        </w:rPr>
        <w:t>, מנישואי</w:t>
      </w:r>
      <w:r>
        <w:rPr>
          <w:rFonts w:ascii="Arial" w:hAnsi="Arial" w:hint="cs"/>
          <w:noProof w:val="0"/>
          <w:rtl/>
        </w:rPr>
        <w:t>ן</w:t>
      </w:r>
      <w:r>
        <w:rPr>
          <w:rFonts w:ascii="Arial" w:hAnsi="Arial"/>
          <w:noProof w:val="0"/>
          <w:rtl/>
        </w:rPr>
        <w:t xml:space="preserve"> אל</w:t>
      </w:r>
      <w:r>
        <w:rPr>
          <w:rFonts w:ascii="Arial" w:hAnsi="Arial" w:hint="cs"/>
          <w:noProof w:val="0"/>
          <w:rtl/>
        </w:rPr>
        <w:t>ו</w:t>
      </w:r>
      <w:r>
        <w:rPr>
          <w:rFonts w:ascii="Arial" w:hAnsi="Arial"/>
          <w:noProof w:val="0"/>
          <w:rtl/>
        </w:rPr>
        <w:t xml:space="preserve"> נולדה הקטינה </w:t>
      </w:r>
      <w:r w:rsidR="00E11529">
        <w:rPr>
          <w:rFonts w:ascii="Arial" w:hAnsi="Arial"/>
          <w:noProof w:val="0"/>
        </w:rPr>
        <w:t>xxx</w:t>
      </w:r>
      <w:r>
        <w:rPr>
          <w:rFonts w:ascii="Arial" w:hAnsi="Arial"/>
          <w:noProof w:val="0"/>
          <w:rtl/>
        </w:rPr>
        <w:t xml:space="preserve"> בתם היחידה המשותפת של הצדדים.</w:t>
      </w:r>
    </w:p>
    <w:p w:rsidR="007D053A" w:rsidRDefault="007D053A" w:rsidP="00E11529">
      <w:pPr>
        <w:spacing w:before="240" w:after="240" w:line="360" w:lineRule="auto"/>
        <w:jc w:val="both"/>
        <w:rPr>
          <w:rFonts w:ascii="Arial" w:hAnsi="Arial"/>
          <w:noProof w:val="0"/>
        </w:rPr>
      </w:pPr>
      <w:r>
        <w:rPr>
          <w:rFonts w:ascii="Arial" w:hAnsi="Arial"/>
          <w:noProof w:val="0"/>
          <w:rtl/>
        </w:rPr>
        <w:t xml:space="preserve">ביום 15.6.23 הגיש האב תביעת גירושין לבית הדין הרבני </w:t>
      </w:r>
      <w:r w:rsidR="00E11529">
        <w:rPr>
          <w:rFonts w:ascii="Arial" w:hAnsi="Arial" w:hint="cs"/>
          <w:noProof w:val="0"/>
        </w:rPr>
        <w:t>XX</w:t>
      </w:r>
      <w:r>
        <w:rPr>
          <w:rFonts w:ascii="Arial" w:hAnsi="Arial"/>
          <w:noProof w:val="0"/>
          <w:rtl/>
        </w:rPr>
        <w:t xml:space="preserve"> במסגרתה כרך את עניינה של הקטינה, תביעת הרכוש ואף את עניין מזונות הקטינה.</w:t>
      </w:r>
    </w:p>
    <w:p w:rsidR="007D053A" w:rsidRDefault="007D053A" w:rsidP="007D053A">
      <w:pPr>
        <w:spacing w:before="240" w:after="240" w:line="360" w:lineRule="auto"/>
        <w:jc w:val="both"/>
        <w:rPr>
          <w:rFonts w:ascii="Arial" w:hAnsi="Arial"/>
          <w:b/>
          <w:bCs/>
          <w:noProof w:val="0"/>
        </w:rPr>
      </w:pPr>
      <w:r>
        <w:rPr>
          <w:rFonts w:ascii="Arial" w:hAnsi="Arial"/>
          <w:noProof w:val="0"/>
          <w:rtl/>
        </w:rPr>
        <w:t>ביום 11.7.23 הגישה התובעת לבית משפט זה תביעת מזונות (מזונות הקטינה ומזונותיה של המבקשת) ובקשה למזונות זמניים. לטענתה, האב הגיש תביעת גירושין לבית הדין הרבני וכרך בה את מזונות הקטינה שלא כדין זאת בניגוד להלכה הקובעת מפורשות כי אין לבית הדין סמכות לדון במזונות הקטינים (ראה בע"מ 7628/17). כמו כן טענה כי האב לא כרך את מזונות האם בבית הדין ולכן ממילא אין מחלוקת כי הסמכות לדון במזונות האם נתונה לבית המשפט לענייני משפחה.</w:t>
      </w:r>
    </w:p>
    <w:p w:rsidR="007D053A" w:rsidRDefault="007D053A" w:rsidP="007D053A">
      <w:pPr>
        <w:spacing w:before="240" w:after="240" w:line="360" w:lineRule="auto"/>
        <w:jc w:val="both"/>
        <w:rPr>
          <w:rFonts w:ascii="Arial" w:hAnsi="Arial"/>
          <w:noProof w:val="0"/>
          <w:rtl/>
        </w:rPr>
      </w:pPr>
      <w:r>
        <w:rPr>
          <w:rFonts w:ascii="Arial" w:hAnsi="Arial"/>
          <w:noProof w:val="0"/>
          <w:rtl/>
        </w:rPr>
        <w:lastRenderedPageBreak/>
        <w:t>לטענת האב, ביום 15.6.13 הגיש לבית הדין הרבני תביעת גירושין בה נכרכה גם תביעת המזונות, וביום 16.7.23 הגישה האם כתבי הגנה בכל התביעות לרבות תביעת המזונות לבית הדין הרבני.</w:t>
      </w:r>
      <w:r>
        <w:rPr>
          <w:rFonts w:ascii="Arial" w:hAnsi="Arial"/>
          <w:b/>
          <w:bCs/>
          <w:noProof w:val="0"/>
          <w:rtl/>
        </w:rPr>
        <w:t xml:space="preserve"> </w:t>
      </w:r>
    </w:p>
    <w:p w:rsidR="007D053A" w:rsidRDefault="007D053A" w:rsidP="007D053A">
      <w:pPr>
        <w:spacing w:before="240" w:after="240" w:line="360" w:lineRule="auto"/>
        <w:jc w:val="both"/>
        <w:rPr>
          <w:rFonts w:ascii="Arial" w:hAnsi="Arial"/>
          <w:noProof w:val="0"/>
        </w:rPr>
      </w:pPr>
      <w:r>
        <w:rPr>
          <w:rFonts w:ascii="Arial" w:hAnsi="Arial"/>
          <w:noProof w:val="0"/>
          <w:rtl/>
        </w:rPr>
        <w:t>עוד לטענת האב, משבית הדין הרבני, לאחר ששמע את הצדדים שניהם, קבע ביום 24.7.23 שהסמכות לדיון בתביעת המזונות נתונה לו, ואף קבע את מזונותיה של הקטינה, הרי שלנוכח "כלל כיבוד הערכאות" יש להותיר את התביעה שם, לקבוע כי הסמכות נתונה לבית הדין הרבני ולסלק על הסף את התביעה שהוגשה לבית משפט זה.</w:t>
      </w:r>
    </w:p>
    <w:p w:rsidR="007D053A" w:rsidRDefault="007D053A" w:rsidP="007D053A">
      <w:pPr>
        <w:spacing w:before="240" w:after="240" w:line="360" w:lineRule="auto"/>
        <w:jc w:val="both"/>
        <w:rPr>
          <w:rFonts w:ascii="Arial" w:hAnsi="Arial"/>
          <w:b/>
          <w:bCs/>
          <w:noProof w:val="0"/>
        </w:rPr>
      </w:pPr>
      <w:r>
        <w:rPr>
          <w:rFonts w:ascii="Arial" w:hAnsi="Arial"/>
          <w:noProof w:val="0"/>
          <w:rtl/>
        </w:rPr>
        <w:t>לטענות אלה השיבה האם כי בהתאם להלכת בע"מ 7628/17 והלכת שרגאי ו</w:t>
      </w:r>
      <w:r>
        <w:rPr>
          <w:rFonts w:ascii="Arial" w:hAnsi="Arial" w:hint="cs"/>
          <w:noProof w:val="0"/>
          <w:rtl/>
        </w:rPr>
        <w:t xml:space="preserve">כן </w:t>
      </w:r>
      <w:r>
        <w:rPr>
          <w:rFonts w:ascii="Arial" w:hAnsi="Arial"/>
          <w:noProof w:val="0"/>
          <w:rtl/>
        </w:rPr>
        <w:t xml:space="preserve">לקביעתו של כבוד השופט שאול שוחט במפורש </w:t>
      </w:r>
      <w:proofErr w:type="spellStart"/>
      <w:r>
        <w:rPr>
          <w:rFonts w:ascii="Arial" w:hAnsi="Arial"/>
          <w:noProof w:val="0"/>
          <w:rtl/>
        </w:rPr>
        <w:t>ברמ"ש</w:t>
      </w:r>
      <w:proofErr w:type="spellEnd"/>
      <w:r>
        <w:rPr>
          <w:rFonts w:ascii="Arial" w:hAnsi="Arial"/>
          <w:noProof w:val="0"/>
          <w:rtl/>
        </w:rPr>
        <w:t xml:space="preserve"> 23962-11-22 - מקום בו נכרכה בתביעת הגירושין סוגיה שאינה ניתנת לכריכה כדין כגון תביעת מזונות חל החריג המאפשר סטייה מעקרון "כיבוד הערכאות".</w:t>
      </w:r>
    </w:p>
    <w:p w:rsidR="007D053A" w:rsidRDefault="007D053A" w:rsidP="007D053A">
      <w:pPr>
        <w:spacing w:before="240" w:after="240" w:line="360" w:lineRule="auto"/>
        <w:jc w:val="both"/>
        <w:rPr>
          <w:rFonts w:ascii="Arial" w:hAnsi="Arial"/>
          <w:b/>
          <w:bCs/>
          <w:noProof w:val="0"/>
        </w:rPr>
      </w:pPr>
      <w:r>
        <w:rPr>
          <w:rFonts w:ascii="Arial" w:hAnsi="Arial"/>
          <w:noProof w:val="0"/>
          <w:rtl/>
        </w:rPr>
        <w:t>עוד טענה האם כי תביעת המזונות לא נכרכה בהסכמתה והסכמה לכריכה לא ניתנה מעולם, במפורש או במשתמע. נהפוך הוא</w:t>
      </w:r>
      <w:r>
        <w:rPr>
          <w:rFonts w:ascii="Arial" w:hAnsi="Arial" w:hint="cs"/>
          <w:noProof w:val="0"/>
          <w:rtl/>
        </w:rPr>
        <w:t>,</w:t>
      </w:r>
      <w:r>
        <w:rPr>
          <w:rFonts w:ascii="Arial" w:hAnsi="Arial"/>
          <w:noProof w:val="0"/>
          <w:rtl/>
        </w:rPr>
        <w:t xml:space="preserve"> בכתב התשובה לתביעת הגירושין טענה האם מפורשות כי בית הדין הרבני נעדר סמכות לדון בעניין המזונות. האם הוסיפה שגם מפרוטוקול הדיון בבית הדין הרבני מיום 19.7.23 עולה בבירור שב"כ האם טען מפורשות לאי הסכמה לכריכה זו והתנגד לה וטען כי כב' בית הדין נעדר סמכות לדון בתביעת המזונות, תוך הפניה להלכותיו של בית המשפט העליון.</w:t>
      </w:r>
    </w:p>
    <w:p w:rsidR="007D053A" w:rsidRDefault="007D053A" w:rsidP="007D053A">
      <w:pPr>
        <w:spacing w:before="240" w:after="240" w:line="360" w:lineRule="auto"/>
        <w:jc w:val="both"/>
        <w:rPr>
          <w:rFonts w:ascii="Arial" w:hAnsi="Arial"/>
          <w:b/>
          <w:bCs/>
          <w:noProof w:val="0"/>
        </w:rPr>
      </w:pPr>
      <w:r>
        <w:rPr>
          <w:rFonts w:ascii="Arial" w:hAnsi="Arial"/>
          <w:b/>
          <w:bCs/>
          <w:noProof w:val="0"/>
          <w:rtl/>
        </w:rPr>
        <w:t>דיון והכרעה</w:t>
      </w:r>
    </w:p>
    <w:p w:rsidR="007D053A" w:rsidRDefault="007D053A" w:rsidP="007D053A">
      <w:pPr>
        <w:spacing w:before="240" w:after="240" w:line="360" w:lineRule="auto"/>
        <w:jc w:val="both"/>
        <w:rPr>
          <w:noProof w:val="0"/>
          <w:rtl/>
        </w:rPr>
      </w:pPr>
      <w:r>
        <w:rPr>
          <w:rFonts w:ascii="Arial" w:hAnsi="Arial"/>
          <w:noProof w:val="0"/>
          <w:rtl/>
        </w:rPr>
        <w:t>בהתאם</w:t>
      </w:r>
      <w:r>
        <w:rPr>
          <w:noProof w:val="0"/>
          <w:rtl/>
        </w:rPr>
        <w:t xml:space="preserve"> להלכה הפסוקה, כאשר אחת  משתי הערכאות – בית הדין הרבני או בית המשפט לענייני משפחה – קנתה סמכות לדון בעניין שנתבע בפניה כדין, לא תזקק לאותו עניין הערכאה האחרת, אף אם נתונה לה סמכות שיפוט מקבילה.</w:t>
      </w:r>
    </w:p>
    <w:p w:rsidR="007D053A" w:rsidRDefault="007D053A" w:rsidP="007D053A">
      <w:pPr>
        <w:spacing w:line="360" w:lineRule="auto"/>
        <w:jc w:val="both"/>
        <w:rPr>
          <w:noProof w:val="0"/>
        </w:rPr>
      </w:pPr>
      <w:r>
        <w:rPr>
          <w:noProof w:val="0"/>
          <w:rtl/>
        </w:rPr>
        <w:t xml:space="preserve">ראו דברי כב' השופטת דורית בייניש </w:t>
      </w:r>
      <w:proofErr w:type="spellStart"/>
      <w:r>
        <w:rPr>
          <w:rFonts w:ascii="Arial" w:hAnsi="Arial"/>
          <w:b/>
          <w:bCs/>
          <w:noProof w:val="0"/>
          <w:rtl/>
        </w:rPr>
        <w:t>בבג"צ</w:t>
      </w:r>
      <w:proofErr w:type="spellEnd"/>
      <w:r>
        <w:rPr>
          <w:rFonts w:ascii="Arial" w:hAnsi="Arial"/>
          <w:b/>
          <w:bCs/>
          <w:noProof w:val="0"/>
          <w:rtl/>
        </w:rPr>
        <w:t xml:space="preserve"> 8497/00 </w:t>
      </w:r>
      <w:proofErr w:type="spellStart"/>
      <w:r>
        <w:rPr>
          <w:rFonts w:ascii="Arial" w:hAnsi="Arial"/>
          <w:b/>
          <w:bCs/>
          <w:noProof w:val="0"/>
          <w:rtl/>
        </w:rPr>
        <w:t>פלמן</w:t>
      </w:r>
      <w:proofErr w:type="spellEnd"/>
      <w:r>
        <w:rPr>
          <w:rFonts w:ascii="Arial" w:hAnsi="Arial"/>
          <w:b/>
          <w:bCs/>
          <w:noProof w:val="0"/>
          <w:rtl/>
        </w:rPr>
        <w:t xml:space="preserve"> נ' </w:t>
      </w:r>
      <w:proofErr w:type="spellStart"/>
      <w:r>
        <w:rPr>
          <w:rFonts w:ascii="Arial" w:hAnsi="Arial"/>
          <w:b/>
          <w:bCs/>
          <w:noProof w:val="0"/>
          <w:rtl/>
        </w:rPr>
        <w:t>פלמן</w:t>
      </w:r>
      <w:proofErr w:type="spellEnd"/>
      <w:r>
        <w:rPr>
          <w:rFonts w:ascii="Arial" w:hAnsi="Arial"/>
          <w:b/>
          <w:bCs/>
          <w:noProof w:val="0"/>
          <w:rtl/>
        </w:rPr>
        <w:t xml:space="preserve"> </w:t>
      </w:r>
      <w:r>
        <w:rPr>
          <w:b/>
          <w:bCs/>
          <w:noProof w:val="0"/>
          <w:sz w:val="22"/>
          <w:rtl/>
        </w:rPr>
        <w:t>[פורסם בנבו]</w:t>
      </w:r>
      <w:r>
        <w:rPr>
          <w:rFonts w:ascii="Arial" w:hAnsi="Arial"/>
          <w:b/>
          <w:bCs/>
          <w:noProof w:val="0"/>
          <w:rtl/>
        </w:rPr>
        <w:t>]</w:t>
      </w:r>
      <w:r>
        <w:rPr>
          <w:noProof w:val="0"/>
          <w:rtl/>
        </w:rPr>
        <w:t xml:space="preserve"> כדלקמן:</w:t>
      </w:r>
    </w:p>
    <w:p w:rsidR="007D053A" w:rsidRDefault="007D053A" w:rsidP="007D053A">
      <w:pPr>
        <w:spacing w:line="360" w:lineRule="auto"/>
        <w:ind w:left="360"/>
        <w:jc w:val="both"/>
        <w:rPr>
          <w:rtl/>
        </w:rPr>
      </w:pPr>
    </w:p>
    <w:p w:rsidR="007D053A" w:rsidRDefault="007D053A" w:rsidP="007D053A">
      <w:pPr>
        <w:spacing w:line="360" w:lineRule="auto"/>
        <w:ind w:left="1134" w:right="1134"/>
        <w:jc w:val="both"/>
        <w:rPr>
          <w:noProof w:val="0"/>
          <w:sz w:val="22"/>
          <w:szCs w:val="22"/>
        </w:rPr>
      </w:pPr>
      <w:r>
        <w:rPr>
          <w:noProof w:val="0"/>
          <w:sz w:val="22"/>
          <w:szCs w:val="22"/>
          <w:rtl/>
        </w:rPr>
        <w:t>"</w:t>
      </w:r>
      <w:r>
        <w:rPr>
          <w:b/>
          <w:bCs/>
          <w:noProof w:val="0"/>
          <w:sz w:val="22"/>
          <w:szCs w:val="22"/>
          <w:rtl/>
        </w:rPr>
        <w:t>הלכה ידועה היא כי "מקום שערכאה אחת דנה ופסקה בתום-לבה בעניין פלוני, אין ערכאה אחרת נזקקת לתביעה חוזרת באותו העניין עצמו - תהא אשר תהא הסמכות הפורמלית" (דברי השופט ח' כהן בע"א  359/75 יהלומי הנ"ל, בעמ'  27). כדי שלא תתקיימנה הכרעות סותרות של בית-המשפט ושל בית-הדין הרבני בתביעות שהוגשו בפני שתי הערכאות באותו עניין, נקבע כי הכרעתה של הערכאה שהקדימה להחליט בעניין נשוא התביעה, היא המחייבת - כל עוד לא בוטלה או נהפכה בערעור כדין</w:t>
      </w:r>
      <w:r>
        <w:rPr>
          <w:noProof w:val="0"/>
          <w:sz w:val="22"/>
          <w:szCs w:val="22"/>
          <w:rtl/>
        </w:rPr>
        <w:t xml:space="preserve">" </w:t>
      </w:r>
    </w:p>
    <w:p w:rsidR="007D053A" w:rsidRDefault="007D053A" w:rsidP="007D053A">
      <w:pPr>
        <w:spacing w:line="360" w:lineRule="auto"/>
        <w:ind w:left="1134" w:right="1134"/>
        <w:jc w:val="both"/>
        <w:rPr>
          <w:sz w:val="22"/>
          <w:szCs w:val="22"/>
          <w:rtl/>
        </w:rPr>
      </w:pPr>
      <w:r>
        <w:rPr>
          <w:noProof w:val="0"/>
          <w:sz w:val="22"/>
          <w:szCs w:val="22"/>
          <w:rtl/>
        </w:rPr>
        <w:t>[ר' עמ' 12 לפסק הדין]</w:t>
      </w:r>
    </w:p>
    <w:p w:rsidR="007D053A" w:rsidRDefault="007D053A" w:rsidP="007D053A">
      <w:pPr>
        <w:spacing w:before="240" w:after="240" w:line="360" w:lineRule="auto"/>
        <w:jc w:val="both"/>
        <w:rPr>
          <w:rFonts w:ascii="Arial" w:hAnsi="Arial"/>
          <w:noProof w:val="0"/>
        </w:rPr>
      </w:pPr>
    </w:p>
    <w:p w:rsidR="007D053A" w:rsidRDefault="007D053A" w:rsidP="007D053A">
      <w:pPr>
        <w:spacing w:before="240" w:after="240" w:line="360" w:lineRule="auto"/>
        <w:jc w:val="both"/>
        <w:rPr>
          <w:rFonts w:ascii="Arial" w:hAnsi="Arial"/>
          <w:noProof w:val="0"/>
          <w:rtl/>
        </w:rPr>
      </w:pPr>
      <w:r>
        <w:rPr>
          <w:rFonts w:ascii="Arial" w:hAnsi="Arial"/>
          <w:noProof w:val="0"/>
          <w:rtl/>
        </w:rPr>
        <w:lastRenderedPageBreak/>
        <w:t>עם זאת, כפי שיפורט להלן, בהמשך פסק הדין מתייחסת כב' נשיאה בדימוס לאותם מקרים חריגים בהם חרף כלל כיבוד הערכאות יש מקום לקבוע כי החלטת הערכאה הראשונה ניתנה שלא כדין והיא בטלה.</w:t>
      </w:r>
    </w:p>
    <w:p w:rsidR="007D053A" w:rsidRDefault="007D053A" w:rsidP="007D053A">
      <w:pPr>
        <w:spacing w:before="240" w:after="240" w:line="360" w:lineRule="auto"/>
        <w:jc w:val="both"/>
        <w:rPr>
          <w:rFonts w:ascii="Arial" w:hAnsi="Arial"/>
          <w:noProof w:val="0"/>
          <w:rtl/>
        </w:rPr>
      </w:pPr>
      <w:r>
        <w:rPr>
          <w:rFonts w:ascii="Arial" w:hAnsi="Arial"/>
          <w:noProof w:val="0"/>
          <w:rtl/>
        </w:rPr>
        <w:t xml:space="preserve">המחלוקת שבפניי נסבה על שאלת הסמכות לדון בתביעת מזונות הקטינה כאשר ניתנה כבר החלטת בית הדין הרבני ביום 24.7.23, הקובעת סמכות לכאורה, זאת בניגוד לקביעת בית המשפט העליון שניתנה </w:t>
      </w:r>
      <w:proofErr w:type="spellStart"/>
      <w:r>
        <w:rPr>
          <w:rFonts w:ascii="Arial" w:hAnsi="Arial" w:hint="cs"/>
          <w:noProof w:val="0"/>
          <w:rtl/>
        </w:rPr>
        <w:t>ב</w:t>
      </w:r>
      <w:hyperlink r:id="rId9" w:history="1">
        <w:r w:rsidRPr="007D053A">
          <w:rPr>
            <w:rStyle w:val="Hyperlink"/>
            <w:rFonts w:ascii="Arial" w:hAnsi="Arial"/>
            <w:noProof w:val="0"/>
            <w:color w:val="auto"/>
            <w:u w:val="none"/>
            <w:rtl/>
          </w:rPr>
          <w:t>בע"מ</w:t>
        </w:r>
        <w:proofErr w:type="spellEnd"/>
        <w:r w:rsidRPr="007D053A">
          <w:rPr>
            <w:rStyle w:val="Hyperlink"/>
            <w:rFonts w:ascii="Arial" w:hAnsi="Arial"/>
            <w:noProof w:val="0"/>
            <w:color w:val="auto"/>
            <w:u w:val="none"/>
            <w:rtl/>
          </w:rPr>
          <w:t xml:space="preserve"> 7628/17</w:t>
        </w:r>
      </w:hyperlink>
      <w:r w:rsidRPr="007D053A">
        <w:rPr>
          <w:rFonts w:ascii="Arial" w:hAnsi="Arial"/>
          <w:noProof w:val="0"/>
          <w:rtl/>
        </w:rPr>
        <w:t xml:space="preserve">, </w:t>
      </w:r>
      <w:r>
        <w:rPr>
          <w:noProof w:val="0"/>
          <w:sz w:val="22"/>
          <w:rtl/>
        </w:rPr>
        <w:t>בו נקבע</w:t>
      </w:r>
      <w:r>
        <w:rPr>
          <w:rFonts w:ascii="Arial" w:hAnsi="Arial"/>
          <w:noProof w:val="0"/>
          <w:rtl/>
        </w:rPr>
        <w:t xml:space="preserve"> [דעת הרוב] כדלקמן:</w:t>
      </w:r>
    </w:p>
    <w:p w:rsidR="007D053A" w:rsidRDefault="007D053A" w:rsidP="007D053A">
      <w:pPr>
        <w:pStyle w:val="ad"/>
        <w:spacing w:line="360" w:lineRule="auto"/>
        <w:jc w:val="both"/>
        <w:rPr>
          <w:rFonts w:ascii="Arial" w:hAnsi="Arial"/>
          <w:noProof w:val="0"/>
          <w:sz w:val="22"/>
          <w:szCs w:val="22"/>
          <w:rtl/>
        </w:rPr>
      </w:pPr>
    </w:p>
    <w:p w:rsidR="007D053A" w:rsidRDefault="007D053A" w:rsidP="007D053A">
      <w:pPr>
        <w:pStyle w:val="ad"/>
        <w:spacing w:line="360" w:lineRule="auto"/>
        <w:ind w:left="1701" w:right="1134"/>
        <w:jc w:val="both"/>
        <w:rPr>
          <w:rFonts w:ascii="David" w:hAnsi="David"/>
          <w:b/>
          <w:bCs/>
          <w:noProof w:val="0"/>
          <w:rtl/>
        </w:rPr>
      </w:pPr>
      <w:r>
        <w:rPr>
          <w:rFonts w:ascii="David" w:hAnsi="David"/>
          <w:b/>
          <w:bCs/>
          <w:noProof w:val="0"/>
          <w:sz w:val="22"/>
          <w:szCs w:val="22"/>
          <w:rtl/>
        </w:rPr>
        <w:t xml:space="preserve">"הלכת שרגאי קובעת כי לא ניתן לכרוך תביעה למזונות ילדים בתביעת גירושין לפי </w:t>
      </w:r>
      <w:r>
        <w:rPr>
          <w:rFonts w:ascii="David" w:hAnsi="David"/>
          <w:b/>
          <w:bCs/>
          <w:noProof w:val="0"/>
          <w:color w:val="000000"/>
          <w:sz w:val="22"/>
          <w:szCs w:val="22"/>
          <w:rtl/>
        </w:rPr>
        <w:t>סעיף 3</w:t>
      </w:r>
      <w:r>
        <w:rPr>
          <w:rFonts w:ascii="David" w:hAnsi="David"/>
          <w:b/>
          <w:bCs/>
          <w:noProof w:val="0"/>
          <w:sz w:val="22"/>
          <w:szCs w:val="22"/>
          <w:rtl/>
        </w:rPr>
        <w:t xml:space="preserve"> לחוק שיפוט בתי דין, אלא רק "תביעה להשבת יציאות".....</w:t>
      </w:r>
      <w:r>
        <w:rPr>
          <w:noProof w:val="0"/>
          <w:sz w:val="22"/>
          <w:szCs w:val="22"/>
          <w:rtl/>
        </w:rPr>
        <w:t xml:space="preserve"> </w:t>
      </w:r>
      <w:r>
        <w:rPr>
          <w:b/>
          <w:bCs/>
          <w:noProof w:val="0"/>
          <w:sz w:val="22"/>
          <w:szCs w:val="22"/>
          <w:rtl/>
        </w:rPr>
        <w:t>הלכה זו לא נס ליחה ולא הועם זוהרה, והיא עודנה שרירה וקיימת, וטוב וראוי שכך</w:t>
      </w:r>
      <w:r>
        <w:rPr>
          <w:rFonts w:ascii="David" w:hAnsi="David"/>
          <w:b/>
          <w:bCs/>
          <w:noProof w:val="0"/>
          <w:sz w:val="22"/>
          <w:szCs w:val="22"/>
          <w:rtl/>
        </w:rPr>
        <w:t>"</w:t>
      </w:r>
      <w:r>
        <w:rPr>
          <w:rFonts w:ascii="David" w:hAnsi="David"/>
          <w:b/>
          <w:bCs/>
          <w:noProof w:val="0"/>
          <w:rtl/>
        </w:rPr>
        <w:t xml:space="preserve">  </w:t>
      </w:r>
    </w:p>
    <w:p w:rsidR="007D053A" w:rsidRDefault="007D053A" w:rsidP="007D053A">
      <w:pPr>
        <w:spacing w:line="360" w:lineRule="auto"/>
        <w:ind w:right="1134"/>
        <w:jc w:val="both"/>
        <w:rPr>
          <w:rFonts w:ascii="David" w:hAnsi="David"/>
          <w:b/>
          <w:bCs/>
          <w:noProof w:val="0"/>
          <w:rtl/>
        </w:rPr>
      </w:pPr>
    </w:p>
    <w:p w:rsidR="007D053A" w:rsidRDefault="007D053A" w:rsidP="00B804C1">
      <w:pPr>
        <w:spacing w:before="240" w:after="240" w:line="360" w:lineRule="auto"/>
        <w:jc w:val="both"/>
        <w:rPr>
          <w:rFonts w:ascii="Arial" w:hAnsi="Arial"/>
          <w:noProof w:val="0"/>
          <w:rtl/>
        </w:rPr>
      </w:pPr>
      <w:r>
        <w:rPr>
          <w:rFonts w:ascii="Arial" w:hAnsi="Arial" w:hint="cs"/>
          <w:noProof w:val="0"/>
          <w:rtl/>
        </w:rPr>
        <w:t xml:space="preserve">גם </w:t>
      </w:r>
      <w:proofErr w:type="spellStart"/>
      <w:r>
        <w:rPr>
          <w:rFonts w:ascii="Arial" w:hAnsi="Arial"/>
          <w:noProof w:val="0"/>
          <w:rtl/>
        </w:rPr>
        <w:t>ברמ"ש</w:t>
      </w:r>
      <w:proofErr w:type="spellEnd"/>
      <w:r>
        <w:rPr>
          <w:rFonts w:ascii="Arial" w:hAnsi="Arial"/>
          <w:noProof w:val="0"/>
          <w:rtl/>
        </w:rPr>
        <w:t xml:space="preserve"> 23962-11-22 [ניתן ביום 9/12/22], דן בית המשפט המחוזי, כבוד השופט ש</w:t>
      </w:r>
      <w:r>
        <w:rPr>
          <w:rFonts w:ascii="Arial" w:hAnsi="Arial" w:hint="cs"/>
          <w:noProof w:val="0"/>
          <w:rtl/>
        </w:rPr>
        <w:t>אול</w:t>
      </w:r>
      <w:r>
        <w:rPr>
          <w:rFonts w:ascii="Arial" w:hAnsi="Arial"/>
          <w:noProof w:val="0"/>
          <w:rtl/>
        </w:rPr>
        <w:t xml:space="preserve"> שוחט, במקרה דומה בו ניתנה כבר החלטת בית הדין הרבני, שקבעה כי הסמכות לדון בסוגיית מזונות הקטינים נתונה לבית הד</w:t>
      </w:r>
      <w:r w:rsidR="00B804C1">
        <w:rPr>
          <w:rFonts w:ascii="Arial" w:hAnsi="Arial"/>
          <w:noProof w:val="0"/>
          <w:rtl/>
        </w:rPr>
        <w:t xml:space="preserve">ין, תוך התייחסות </w:t>
      </w:r>
      <w:proofErr w:type="spellStart"/>
      <w:r w:rsidR="00B804C1">
        <w:rPr>
          <w:rFonts w:ascii="Arial" w:hAnsi="Arial"/>
          <w:noProof w:val="0"/>
          <w:rtl/>
        </w:rPr>
        <w:t>לבע"מ</w:t>
      </w:r>
      <w:proofErr w:type="spellEnd"/>
      <w:r w:rsidR="00B804C1">
        <w:rPr>
          <w:rFonts w:ascii="Arial" w:hAnsi="Arial"/>
          <w:noProof w:val="0"/>
          <w:rtl/>
        </w:rPr>
        <w:t xml:space="preserve"> 7628/17</w:t>
      </w:r>
      <w:r w:rsidR="00B804C1">
        <w:rPr>
          <w:rFonts w:ascii="Arial" w:hAnsi="Arial" w:hint="cs"/>
          <w:noProof w:val="0"/>
          <w:rtl/>
        </w:rPr>
        <w:t xml:space="preserve"> </w:t>
      </w:r>
      <w:r>
        <w:rPr>
          <w:rFonts w:ascii="Arial" w:hAnsi="Arial"/>
          <w:noProof w:val="0"/>
          <w:rtl/>
        </w:rPr>
        <w:t xml:space="preserve">ותוך קביעת בית הדין הרבני כי פסיקה זו (של בית המשפט העליון) אינה מחייבת את בתי הדין הרבניים, כי אם פסיקת ביה"ד הרבני הגדול. כבוד השופט שוחט, הפנה בפסיקתו לדברי הנשיאה בדימוס כב' השופטת בייניש בפרשת </w:t>
      </w:r>
      <w:proofErr w:type="spellStart"/>
      <w:r>
        <w:rPr>
          <w:rFonts w:ascii="Arial" w:hAnsi="Arial"/>
          <w:noProof w:val="0"/>
          <w:rtl/>
        </w:rPr>
        <w:t>פלמן</w:t>
      </w:r>
      <w:proofErr w:type="spellEnd"/>
      <w:r>
        <w:rPr>
          <w:rFonts w:ascii="Arial" w:hAnsi="Arial"/>
          <w:noProof w:val="0"/>
          <w:rtl/>
        </w:rPr>
        <w:t xml:space="preserve"> כדלקמן:</w:t>
      </w:r>
    </w:p>
    <w:p w:rsidR="007D053A" w:rsidRDefault="007D053A" w:rsidP="007D053A">
      <w:pPr>
        <w:pStyle w:val="ae"/>
        <w:spacing w:line="360" w:lineRule="auto"/>
        <w:ind w:left="1701" w:right="1134" w:firstLine="0"/>
        <w:rPr>
          <w:sz w:val="22"/>
          <w:szCs w:val="22"/>
        </w:rPr>
      </w:pPr>
      <w:r>
        <w:rPr>
          <w:rFonts w:ascii="David" w:hAnsi="David" w:cs="David"/>
          <w:b/>
          <w:bCs/>
          <w:sz w:val="22"/>
          <w:szCs w:val="22"/>
          <w:rtl/>
        </w:rPr>
        <w:t>"...בשל עקרון הכיבוד ההדדי בין הערכאות אני סבורה כי רק במקרים חריגים, ובהתקיים "טעם מיוחד" שיצדיק זאת, תחליט הערכאה השנייה בשאלת סמכותה לדון בסוגיה שנתבעה בפניה, אף שהערכאה האחרת כבר החליטה כי בסמכותה לדון באותה הסוגיה ממש. מה יהווה "טעם מיוחד", ובאילו נסיבות ניתן לקבוע "טעם מיוחד" כאמור? טול לדוגמה מקרה שענייני הרכוש נכרכו בו בתביעת גירושין בפני בית</w:t>
      </w:r>
      <w:r>
        <w:rPr>
          <w:rFonts w:ascii="David" w:hAnsi="David" w:cs="David"/>
          <w:b/>
          <w:bCs/>
          <w:position w:val="4"/>
          <w:sz w:val="22"/>
          <w:szCs w:val="22"/>
          <w:rtl/>
        </w:rPr>
        <w:t>-</w:t>
      </w:r>
      <w:r>
        <w:rPr>
          <w:rFonts w:ascii="David" w:hAnsi="David" w:cs="David"/>
          <w:b/>
          <w:bCs/>
          <w:sz w:val="22"/>
          <w:szCs w:val="22"/>
          <w:rtl/>
        </w:rPr>
        <w:t>הדין הרבני, ולאחר מכן נתבעו בפני בית</w:t>
      </w:r>
      <w:r>
        <w:rPr>
          <w:rFonts w:ascii="David" w:hAnsi="David" w:cs="David"/>
          <w:b/>
          <w:bCs/>
          <w:position w:val="4"/>
          <w:sz w:val="22"/>
          <w:szCs w:val="22"/>
          <w:rtl/>
        </w:rPr>
        <w:t>-</w:t>
      </w:r>
      <w:r>
        <w:rPr>
          <w:rFonts w:ascii="David" w:hAnsi="David" w:cs="David"/>
          <w:b/>
          <w:bCs/>
          <w:sz w:val="22"/>
          <w:szCs w:val="22"/>
          <w:rtl/>
        </w:rPr>
        <w:t>המשפט לענייני משפחה, ואחת משתי הערכאות פסקה כי היא המוסמכת לדון בחלוקת הרכוש בין בני</w:t>
      </w:r>
      <w:r>
        <w:rPr>
          <w:rFonts w:ascii="David" w:hAnsi="David" w:cs="David"/>
          <w:b/>
          <w:bCs/>
          <w:position w:val="4"/>
          <w:sz w:val="22"/>
          <w:szCs w:val="22"/>
          <w:rtl/>
        </w:rPr>
        <w:t>-</w:t>
      </w:r>
      <w:r>
        <w:rPr>
          <w:rFonts w:ascii="David" w:hAnsi="David" w:cs="David"/>
          <w:b/>
          <w:bCs/>
          <w:sz w:val="22"/>
          <w:szCs w:val="22"/>
          <w:rtl/>
        </w:rPr>
        <w:t xml:space="preserve">הזוג בלא לנמק החלטתה, ובלא שנערך דיון מקדים בשאלת התקיימותם של תנאי הכריכה טרם מתן ההכרעה. במקרה כזה מתעורר חשש כי היה "מחטף" סמכויות בניגוד למתחייב מן הכבוד ההדדי בין הערכאות. בנסיבות כאלה עשוי להתקיים "טעם מיוחד" שיצדיק דיון של הערכאה השנייה בשאלת סמכותה להיזקק לתביעה </w:t>
      </w:r>
      <w:proofErr w:type="spellStart"/>
      <w:r>
        <w:rPr>
          <w:rFonts w:ascii="David" w:hAnsi="David" w:cs="David"/>
          <w:b/>
          <w:bCs/>
          <w:sz w:val="22"/>
          <w:szCs w:val="22"/>
          <w:rtl/>
        </w:rPr>
        <w:t>הרכושית</w:t>
      </w:r>
      <w:proofErr w:type="spellEnd"/>
      <w:r>
        <w:rPr>
          <w:rFonts w:ascii="David" w:hAnsi="David" w:cs="David"/>
          <w:b/>
          <w:bCs/>
          <w:sz w:val="22"/>
          <w:szCs w:val="22"/>
          <w:rtl/>
        </w:rPr>
        <w:t xml:space="preserve"> שבפניה (השוו </w:t>
      </w:r>
      <w:r>
        <w:rPr>
          <w:rFonts w:ascii="David" w:hAnsi="David" w:cs="David"/>
          <w:b/>
          <w:bCs/>
          <w:color w:val="000000"/>
          <w:sz w:val="22"/>
          <w:szCs w:val="22"/>
          <w:rtl/>
        </w:rPr>
        <w:lastRenderedPageBreak/>
        <w:t>בג"ץ 725/80</w:t>
      </w:r>
      <w:r>
        <w:rPr>
          <w:rFonts w:ascii="David" w:hAnsi="David" w:cs="David"/>
          <w:b/>
          <w:bCs/>
          <w:sz w:val="22"/>
          <w:szCs w:val="22"/>
          <w:rtl/>
        </w:rPr>
        <w:t xml:space="preserve"> בלום נ' בית הדין הרבני חיפה [24]). מקרה אחר שיתקיים בו "טעם מיוחד" כאמור הוא כאשר ברור וגלוי על פני הדברים כי הכרעתה של הערכאה הראשונה לעניין סמכותה לוקה בחוסר חוקיות או בפגם חמור אחר היורד לשורש הסמכות, שבעטיים הכרעתה בטלה. כך למשל כאשר ההכרעה לעניין הסמכות ניתנה תוך חריגה ברורה מכללי הצדק הטבעי, מן הסוג המביא לבטלותה של ההכרעה. </w:t>
      </w:r>
      <w:r>
        <w:rPr>
          <w:rFonts w:ascii="David" w:hAnsi="David" w:cs="David"/>
          <w:b/>
          <w:bCs/>
          <w:sz w:val="22"/>
          <w:szCs w:val="22"/>
          <w:u w:val="single"/>
          <w:rtl/>
        </w:rPr>
        <w:t>או למשל כאשר נכרכה בתביעת גירושין סוגיה שאינה ניתנת לכריכה (כגון תביעת ילד למזונותיו), ואף</w:t>
      </w:r>
      <w:r>
        <w:rPr>
          <w:rFonts w:ascii="David" w:hAnsi="David" w:cs="David"/>
          <w:b/>
          <w:bCs/>
          <w:position w:val="4"/>
          <w:sz w:val="22"/>
          <w:szCs w:val="22"/>
          <w:u w:val="single"/>
          <w:rtl/>
        </w:rPr>
        <w:t>-</w:t>
      </w:r>
      <w:r>
        <w:rPr>
          <w:rFonts w:ascii="David" w:hAnsi="David" w:cs="David"/>
          <w:b/>
          <w:bCs/>
          <w:sz w:val="22"/>
          <w:szCs w:val="22"/>
          <w:u w:val="single"/>
          <w:rtl/>
        </w:rPr>
        <w:t>על</w:t>
      </w:r>
      <w:r>
        <w:rPr>
          <w:rFonts w:ascii="David" w:hAnsi="David" w:cs="David"/>
          <w:b/>
          <w:bCs/>
          <w:position w:val="4"/>
          <w:sz w:val="22"/>
          <w:szCs w:val="22"/>
          <w:u w:val="single"/>
          <w:rtl/>
        </w:rPr>
        <w:t>-</w:t>
      </w:r>
      <w:r>
        <w:rPr>
          <w:rFonts w:ascii="David" w:hAnsi="David" w:cs="David"/>
          <w:b/>
          <w:bCs/>
          <w:sz w:val="22"/>
          <w:szCs w:val="22"/>
          <w:u w:val="single"/>
          <w:rtl/>
        </w:rPr>
        <w:t>פי</w:t>
      </w:r>
      <w:r>
        <w:rPr>
          <w:rFonts w:ascii="David" w:hAnsi="David" w:cs="David"/>
          <w:b/>
          <w:bCs/>
          <w:position w:val="4"/>
          <w:sz w:val="22"/>
          <w:szCs w:val="22"/>
          <w:u w:val="single"/>
          <w:rtl/>
        </w:rPr>
        <w:t>-</w:t>
      </w:r>
      <w:r>
        <w:rPr>
          <w:rFonts w:ascii="David" w:hAnsi="David" w:cs="David"/>
          <w:b/>
          <w:bCs/>
          <w:sz w:val="22"/>
          <w:szCs w:val="22"/>
          <w:u w:val="single"/>
          <w:rtl/>
        </w:rPr>
        <w:t>כן קבע בית</w:t>
      </w:r>
      <w:r>
        <w:rPr>
          <w:rFonts w:ascii="David" w:hAnsi="David" w:cs="David"/>
          <w:b/>
          <w:bCs/>
          <w:position w:val="4"/>
          <w:sz w:val="22"/>
          <w:szCs w:val="22"/>
          <w:u w:val="single"/>
          <w:rtl/>
        </w:rPr>
        <w:t>-</w:t>
      </w:r>
      <w:r>
        <w:rPr>
          <w:rFonts w:ascii="David" w:hAnsi="David" w:cs="David"/>
          <w:b/>
          <w:bCs/>
          <w:sz w:val="22"/>
          <w:szCs w:val="22"/>
          <w:u w:val="single"/>
          <w:rtl/>
        </w:rPr>
        <w:t xml:space="preserve">הדין הרבני כי בסמכותו לדון בסוגיה זו מכוח כריכתה בתביעת הגירושין. </w:t>
      </w:r>
      <w:r>
        <w:rPr>
          <w:rFonts w:ascii="David" w:hAnsi="David" w:cs="David"/>
          <w:b/>
          <w:bCs/>
          <w:sz w:val="22"/>
          <w:szCs w:val="22"/>
          <w:rtl/>
        </w:rPr>
        <w:t>במקרה זה החלטתו של בית</w:t>
      </w:r>
      <w:r>
        <w:rPr>
          <w:rFonts w:ascii="David" w:hAnsi="David" w:cs="David"/>
          <w:b/>
          <w:bCs/>
          <w:position w:val="4"/>
          <w:sz w:val="22"/>
          <w:szCs w:val="22"/>
          <w:rtl/>
        </w:rPr>
        <w:t>-</w:t>
      </w:r>
      <w:r>
        <w:rPr>
          <w:rFonts w:ascii="David" w:hAnsi="David" w:cs="David"/>
          <w:b/>
          <w:bCs/>
          <w:sz w:val="22"/>
          <w:szCs w:val="22"/>
          <w:rtl/>
        </w:rPr>
        <w:t xml:space="preserve">הדין לוקה בפגם שיש בו כדי להביא לבטלותה (ראו: </w:t>
      </w:r>
      <w:proofErr w:type="spellStart"/>
      <w:r>
        <w:rPr>
          <w:rFonts w:ascii="David" w:hAnsi="David" w:cs="David"/>
          <w:b/>
          <w:bCs/>
          <w:sz w:val="22"/>
          <w:szCs w:val="22"/>
          <w:rtl/>
        </w:rPr>
        <w:t>בר"ע</w:t>
      </w:r>
      <w:proofErr w:type="spellEnd"/>
      <w:r>
        <w:rPr>
          <w:rFonts w:ascii="David" w:hAnsi="David" w:cs="David"/>
          <w:b/>
          <w:bCs/>
          <w:sz w:val="22"/>
          <w:szCs w:val="22"/>
          <w:rtl/>
        </w:rPr>
        <w:t xml:space="preserve"> 120/69 שרגאי נ' שרגאי [25], בעמ' 176; ע"א 404/70 עברון נ' עברון [26], בעמ' 378-377). רק במקרים חריגים ומצומצמים כגון אלה מתקיים "טעם מיוחד" המצדיק כי הערכאה השנייה תיזקק לטענות הנוגעות לסמכותה לדון בתביעה שבפניה על</w:t>
      </w:r>
      <w:r>
        <w:rPr>
          <w:rFonts w:ascii="David" w:hAnsi="David" w:cs="David"/>
          <w:b/>
          <w:bCs/>
          <w:position w:val="4"/>
          <w:sz w:val="22"/>
          <w:szCs w:val="22"/>
          <w:rtl/>
        </w:rPr>
        <w:t>-</w:t>
      </w:r>
      <w:r>
        <w:rPr>
          <w:rFonts w:ascii="David" w:hAnsi="David" w:cs="David"/>
          <w:b/>
          <w:bCs/>
          <w:sz w:val="22"/>
          <w:szCs w:val="22"/>
          <w:rtl/>
        </w:rPr>
        <w:t xml:space="preserve">אף קיומה של הכרעה סותרת בנוגע לסמכות (השוו: </w:t>
      </w:r>
      <w:proofErr w:type="spellStart"/>
      <w:r>
        <w:rPr>
          <w:rFonts w:ascii="David" w:hAnsi="David" w:cs="David"/>
          <w:b/>
          <w:bCs/>
          <w:sz w:val="22"/>
          <w:szCs w:val="22"/>
          <w:rtl/>
        </w:rPr>
        <w:t>בד"מ</w:t>
      </w:r>
      <w:proofErr w:type="spellEnd"/>
      <w:r>
        <w:rPr>
          <w:rFonts w:ascii="David" w:hAnsi="David" w:cs="David"/>
          <w:b/>
          <w:bCs/>
          <w:sz w:val="22"/>
          <w:szCs w:val="22"/>
          <w:rtl/>
        </w:rPr>
        <w:t xml:space="preserve"> 1/81 נגר הנ"ל [9], בעמ' 400; ע"א 680/84 שני נ' שני [27], בעמ' 447).</w:t>
      </w:r>
      <w:r>
        <w:rPr>
          <w:sz w:val="22"/>
          <w:szCs w:val="22"/>
          <w:rtl/>
        </w:rPr>
        <w:t>"</w:t>
      </w:r>
    </w:p>
    <w:p w:rsidR="007D053A" w:rsidRDefault="007D053A" w:rsidP="007D053A">
      <w:pPr>
        <w:spacing w:before="240" w:after="240" w:line="360" w:lineRule="auto"/>
        <w:jc w:val="both"/>
        <w:rPr>
          <w:rFonts w:ascii="Arial" w:hAnsi="Arial"/>
          <w:noProof w:val="0"/>
          <w:rtl/>
        </w:rPr>
      </w:pPr>
      <w:r>
        <w:rPr>
          <w:rFonts w:ascii="Arial" w:hAnsi="Arial"/>
          <w:noProof w:val="0"/>
          <w:rtl/>
        </w:rPr>
        <w:t xml:space="preserve">וקובע כב' השופט שוחט שם כי: </w:t>
      </w:r>
    </w:p>
    <w:p w:rsidR="007D053A" w:rsidRDefault="007D053A" w:rsidP="00B804C1">
      <w:pPr>
        <w:pStyle w:val="ae"/>
        <w:spacing w:line="360" w:lineRule="auto"/>
        <w:ind w:left="1701" w:right="1134" w:firstLine="0"/>
        <w:rPr>
          <w:rFonts w:ascii="David" w:hAnsi="David" w:cs="David"/>
          <w:b/>
          <w:bCs/>
          <w:sz w:val="22"/>
          <w:szCs w:val="22"/>
          <w:rtl/>
        </w:rPr>
      </w:pPr>
      <w:r>
        <w:rPr>
          <w:rFonts w:ascii="David" w:hAnsi="David" w:cs="David"/>
          <w:b/>
          <w:bCs/>
          <w:sz w:val="22"/>
          <w:szCs w:val="22"/>
          <w:rtl/>
        </w:rPr>
        <w:t xml:space="preserve">"....הרי </w:t>
      </w:r>
      <w:proofErr w:type="spellStart"/>
      <w:r>
        <w:rPr>
          <w:rFonts w:ascii="David" w:hAnsi="David" w:cs="David"/>
          <w:b/>
          <w:bCs/>
          <w:sz w:val="22"/>
          <w:szCs w:val="22"/>
          <w:rtl/>
        </w:rPr>
        <w:t>שה"טעם</w:t>
      </w:r>
      <w:proofErr w:type="spellEnd"/>
      <w:r>
        <w:rPr>
          <w:rFonts w:ascii="David" w:hAnsi="David" w:cs="David"/>
          <w:b/>
          <w:bCs/>
          <w:sz w:val="22"/>
          <w:szCs w:val="22"/>
          <w:rtl/>
        </w:rPr>
        <w:t xml:space="preserve"> המיוחד" מתקיים כאשר נכרכת בתביעת גירושין סוגיה אשר אינה ניתנת לכריכה כגון תביעת מזונות קטינים"</w:t>
      </w:r>
    </w:p>
    <w:p w:rsidR="007D053A" w:rsidRDefault="007D053A" w:rsidP="007D053A">
      <w:pPr>
        <w:spacing w:before="240" w:after="240" w:line="360" w:lineRule="auto"/>
        <w:jc w:val="both"/>
        <w:rPr>
          <w:rFonts w:ascii="Arial" w:hAnsi="Arial"/>
          <w:noProof w:val="0"/>
        </w:rPr>
      </w:pPr>
      <w:r>
        <w:rPr>
          <w:rFonts w:ascii="Arial" w:hAnsi="Arial"/>
          <w:noProof w:val="0"/>
          <w:rtl/>
        </w:rPr>
        <w:t>מכל</w:t>
      </w:r>
      <w:r>
        <w:rPr>
          <w:rFonts w:ascii="Arial" w:hAnsi="Arial"/>
          <w:b/>
          <w:bCs/>
          <w:noProof w:val="0"/>
          <w:rtl/>
        </w:rPr>
        <w:t xml:space="preserve"> </w:t>
      </w:r>
      <w:r>
        <w:rPr>
          <w:rFonts w:ascii="Arial" w:hAnsi="Arial"/>
          <w:noProof w:val="0"/>
          <w:rtl/>
        </w:rPr>
        <w:t xml:space="preserve">שהונח בפניי עולה כי האם, התובעת (המשיבה) מעולם לא נתנה הסכמתה לכריכת המזונות בבית הדין הרבני. יתירה מכך ב"כ האם אף התנגד מפורשות בהזדמנות הראשונה לכריכה בטענת העדר סמכות, תוך שהוא מפנה את כב' בית הדין הרבני לעניין שרגאי </w:t>
      </w:r>
      <w:proofErr w:type="spellStart"/>
      <w:r>
        <w:rPr>
          <w:rFonts w:ascii="Arial" w:hAnsi="Arial"/>
          <w:noProof w:val="0"/>
          <w:rtl/>
        </w:rPr>
        <w:t>לבע"מ</w:t>
      </w:r>
      <w:proofErr w:type="spellEnd"/>
      <w:r>
        <w:rPr>
          <w:rFonts w:ascii="Arial" w:hAnsi="Arial"/>
          <w:noProof w:val="0"/>
          <w:rtl/>
        </w:rPr>
        <w:t xml:space="preserve"> 7826/17 ואף לעניין </w:t>
      </w:r>
      <w:proofErr w:type="spellStart"/>
      <w:r>
        <w:rPr>
          <w:rFonts w:ascii="Arial" w:hAnsi="Arial"/>
          <w:noProof w:val="0"/>
          <w:rtl/>
        </w:rPr>
        <w:t>פלמן</w:t>
      </w:r>
      <w:proofErr w:type="spellEnd"/>
      <w:r>
        <w:rPr>
          <w:rFonts w:ascii="Arial" w:hAnsi="Arial"/>
          <w:noProof w:val="0"/>
          <w:rtl/>
        </w:rPr>
        <w:t>. כך בדיון שהתקיים ביום 19.7.23 (ראה בפרוטוקול הדיון שצורף לתגובת האם מיום 13.8.23 שורות 127-129, 134, 138-139, 145-145, 154) כדלקמן:</w:t>
      </w:r>
    </w:p>
    <w:p w:rsidR="007D053A" w:rsidRDefault="007D053A" w:rsidP="007D053A">
      <w:pPr>
        <w:pStyle w:val="ae"/>
        <w:spacing w:line="360" w:lineRule="auto"/>
        <w:ind w:left="284" w:right="1134" w:firstLine="0"/>
        <w:rPr>
          <w:rFonts w:ascii="Arial" w:hAnsi="Arial"/>
          <w:b/>
          <w:bCs/>
        </w:rPr>
      </w:pPr>
      <w:r>
        <w:rPr>
          <w:rFonts w:ascii="David" w:hAnsi="David" w:cs="David"/>
          <w:b/>
          <w:bCs/>
          <w:sz w:val="22"/>
          <w:szCs w:val="22"/>
          <w:rtl/>
        </w:rPr>
        <w:t xml:space="preserve">"ב"כ </w:t>
      </w:r>
      <w:proofErr w:type="spellStart"/>
      <w:r>
        <w:rPr>
          <w:rFonts w:ascii="David" w:hAnsi="David" w:cs="David"/>
          <w:b/>
          <w:bCs/>
          <w:sz w:val="22"/>
          <w:szCs w:val="22"/>
          <w:rtl/>
        </w:rPr>
        <w:t>האשה</w:t>
      </w:r>
      <w:proofErr w:type="spellEnd"/>
      <w:r>
        <w:rPr>
          <w:rFonts w:ascii="David" w:hAnsi="David" w:cs="David"/>
          <w:b/>
          <w:bCs/>
          <w:sz w:val="22"/>
          <w:szCs w:val="22"/>
          <w:rtl/>
        </w:rPr>
        <w:t>: יש תביעה תלויה ועומדת בבית המשפט לעניין מזונות הילדה לענ"ד אין לביה"ד סמכות לדון היום במצב המשפטי לדון במזונות הילדה, מבקשים שביה"ד לא ידון בזה ויכבד את החלטת בית המשפט העליון מהלכת שרגאי ובע"מ 7826/17 "</w:t>
      </w:r>
    </w:p>
    <w:p w:rsidR="007D053A" w:rsidRDefault="007D053A" w:rsidP="007D053A">
      <w:pPr>
        <w:spacing w:before="240" w:after="240" w:line="360" w:lineRule="auto"/>
        <w:jc w:val="both"/>
        <w:rPr>
          <w:rFonts w:ascii="Arial" w:hAnsi="Arial"/>
          <w:noProof w:val="0"/>
        </w:rPr>
      </w:pPr>
      <w:r>
        <w:rPr>
          <w:rFonts w:ascii="Arial" w:hAnsi="Arial"/>
          <w:noProof w:val="0"/>
          <w:rtl/>
        </w:rPr>
        <w:t xml:space="preserve">כידוע, בית משפט זה, כפוף לפסיקתו של בית המשפט העליון, ולפסיקתו של בית המשפט המחוזי. </w:t>
      </w:r>
    </w:p>
    <w:p w:rsidR="007D053A" w:rsidRDefault="007D053A" w:rsidP="007D053A">
      <w:pPr>
        <w:spacing w:before="240" w:after="240" w:line="360" w:lineRule="auto"/>
        <w:jc w:val="both"/>
        <w:rPr>
          <w:rFonts w:ascii="Arial" w:hAnsi="Arial"/>
          <w:noProof w:val="0"/>
          <w:rtl/>
        </w:rPr>
      </w:pPr>
      <w:r>
        <w:rPr>
          <w:rFonts w:ascii="Arial" w:hAnsi="Arial"/>
          <w:noProof w:val="0"/>
          <w:rtl/>
        </w:rPr>
        <w:t xml:space="preserve">מכל שתואר בפני עולה כי החלטתו של כב' ביה"ד הרבני מיום  24.7.23 בה נקבע שהסמכות לדון בתביעת מזונות הקטינה נתונה בידי ביה"ד הרבני ניתנה בניגוד לפסיקתו של בית המשפט העליון (ראה </w:t>
      </w:r>
      <w:r>
        <w:rPr>
          <w:rFonts w:ascii="Arial" w:hAnsi="Arial"/>
          <w:noProof w:val="0"/>
          <w:rtl/>
        </w:rPr>
        <w:lastRenderedPageBreak/>
        <w:t xml:space="preserve">עניין שרגאי, בע"מ 7826/17 ועניין </w:t>
      </w:r>
      <w:proofErr w:type="spellStart"/>
      <w:r>
        <w:rPr>
          <w:rFonts w:ascii="Arial" w:hAnsi="Arial"/>
          <w:noProof w:val="0"/>
          <w:rtl/>
        </w:rPr>
        <w:t>פלמן</w:t>
      </w:r>
      <w:proofErr w:type="spellEnd"/>
      <w:r>
        <w:rPr>
          <w:rFonts w:ascii="Arial" w:hAnsi="Arial"/>
          <w:noProof w:val="0"/>
          <w:rtl/>
        </w:rPr>
        <w:t xml:space="preserve">) ומשכך חל על החלטה זו החריג שנקבע על ידי כב' הנשיאה בדימוס השופטת דורית בייניש, בבחינת "טעם מיוחד" המאפשר לערכאה השנייה (בית משפט זה) להיזקק לטענות הנוגעות לסמכותה לדיון בתביעה שבפניה על אף קיומה של הכרעה סותרת בנוגע לסמכות.  </w:t>
      </w:r>
    </w:p>
    <w:p w:rsidR="007D053A" w:rsidRDefault="007D053A" w:rsidP="007D053A">
      <w:pPr>
        <w:pStyle w:val="ae"/>
        <w:spacing w:line="360" w:lineRule="auto"/>
        <w:ind w:left="1701" w:right="1134" w:firstLine="0"/>
        <w:rPr>
          <w:sz w:val="22"/>
          <w:szCs w:val="22"/>
          <w:rtl/>
        </w:rPr>
      </w:pPr>
      <w:r>
        <w:rPr>
          <w:rFonts w:ascii="David" w:hAnsi="David" w:cs="David"/>
          <w:b/>
          <w:bCs/>
          <w:sz w:val="22"/>
          <w:szCs w:val="22"/>
          <w:u w:val="single"/>
          <w:rtl/>
        </w:rPr>
        <w:t>"...כאשר נכרכה בתביעת גירושין סוגיה שאינה ניתנת לכריכה (כגון תביעת ילד למזונותיו), ואף</w:t>
      </w:r>
      <w:r>
        <w:rPr>
          <w:rFonts w:ascii="David" w:hAnsi="David" w:cs="David"/>
          <w:b/>
          <w:bCs/>
          <w:position w:val="4"/>
          <w:sz w:val="22"/>
          <w:szCs w:val="22"/>
          <w:u w:val="single"/>
          <w:rtl/>
        </w:rPr>
        <w:t>-</w:t>
      </w:r>
      <w:r>
        <w:rPr>
          <w:rFonts w:ascii="David" w:hAnsi="David" w:cs="David"/>
          <w:b/>
          <w:bCs/>
          <w:sz w:val="22"/>
          <w:szCs w:val="22"/>
          <w:u w:val="single"/>
          <w:rtl/>
        </w:rPr>
        <w:t>על</w:t>
      </w:r>
      <w:r>
        <w:rPr>
          <w:rFonts w:ascii="David" w:hAnsi="David" w:cs="David"/>
          <w:b/>
          <w:bCs/>
          <w:position w:val="4"/>
          <w:sz w:val="22"/>
          <w:szCs w:val="22"/>
          <w:u w:val="single"/>
          <w:rtl/>
        </w:rPr>
        <w:t>-</w:t>
      </w:r>
      <w:r>
        <w:rPr>
          <w:rFonts w:ascii="David" w:hAnsi="David" w:cs="David"/>
          <w:b/>
          <w:bCs/>
          <w:sz w:val="22"/>
          <w:szCs w:val="22"/>
          <w:u w:val="single"/>
          <w:rtl/>
        </w:rPr>
        <w:t>פי</w:t>
      </w:r>
      <w:r>
        <w:rPr>
          <w:rFonts w:ascii="David" w:hAnsi="David" w:cs="David"/>
          <w:b/>
          <w:bCs/>
          <w:position w:val="4"/>
          <w:sz w:val="22"/>
          <w:szCs w:val="22"/>
          <w:u w:val="single"/>
          <w:rtl/>
        </w:rPr>
        <w:t>-</w:t>
      </w:r>
      <w:r>
        <w:rPr>
          <w:rFonts w:ascii="David" w:hAnsi="David" w:cs="David"/>
          <w:b/>
          <w:bCs/>
          <w:sz w:val="22"/>
          <w:szCs w:val="22"/>
          <w:u w:val="single"/>
          <w:rtl/>
        </w:rPr>
        <w:t>כן קבע בית</w:t>
      </w:r>
      <w:r>
        <w:rPr>
          <w:rFonts w:ascii="David" w:hAnsi="David" w:cs="David"/>
          <w:b/>
          <w:bCs/>
          <w:position w:val="4"/>
          <w:sz w:val="22"/>
          <w:szCs w:val="22"/>
          <w:u w:val="single"/>
          <w:rtl/>
        </w:rPr>
        <w:t>-</w:t>
      </w:r>
      <w:r>
        <w:rPr>
          <w:rFonts w:ascii="David" w:hAnsi="David" w:cs="David"/>
          <w:b/>
          <w:bCs/>
          <w:sz w:val="22"/>
          <w:szCs w:val="22"/>
          <w:u w:val="single"/>
          <w:rtl/>
        </w:rPr>
        <w:t xml:space="preserve">הדין הרבני כי בסמכותו לדון בסוגיה זו מכוח כריכתה בתביעת הגירושין. </w:t>
      </w:r>
      <w:r>
        <w:rPr>
          <w:rFonts w:ascii="David" w:hAnsi="David" w:cs="David"/>
          <w:b/>
          <w:bCs/>
          <w:sz w:val="22"/>
          <w:szCs w:val="22"/>
          <w:rtl/>
        </w:rPr>
        <w:t>במקרה זה החלטתו של בית</w:t>
      </w:r>
      <w:r>
        <w:rPr>
          <w:rFonts w:ascii="David" w:hAnsi="David" w:cs="David"/>
          <w:b/>
          <w:bCs/>
          <w:position w:val="4"/>
          <w:sz w:val="22"/>
          <w:szCs w:val="22"/>
          <w:rtl/>
        </w:rPr>
        <w:t>-</w:t>
      </w:r>
      <w:r>
        <w:rPr>
          <w:rFonts w:ascii="David" w:hAnsi="David" w:cs="David"/>
          <w:b/>
          <w:bCs/>
          <w:sz w:val="22"/>
          <w:szCs w:val="22"/>
          <w:rtl/>
        </w:rPr>
        <w:t xml:space="preserve">הדין לוקה בפגם שיש בו כדי להביא לבטלותה (ראו: </w:t>
      </w:r>
      <w:proofErr w:type="spellStart"/>
      <w:r>
        <w:rPr>
          <w:rFonts w:ascii="David" w:hAnsi="David" w:cs="David"/>
          <w:b/>
          <w:bCs/>
          <w:sz w:val="22"/>
          <w:szCs w:val="22"/>
          <w:rtl/>
        </w:rPr>
        <w:t>בר"ע</w:t>
      </w:r>
      <w:proofErr w:type="spellEnd"/>
      <w:r>
        <w:rPr>
          <w:rFonts w:ascii="David" w:hAnsi="David" w:cs="David"/>
          <w:b/>
          <w:bCs/>
          <w:sz w:val="22"/>
          <w:szCs w:val="22"/>
          <w:rtl/>
        </w:rPr>
        <w:t xml:space="preserve"> 120/69 שרגאי נ' שרגאי [25], בעמ' 176; ע"א 404/70 עברון נ' עברון [26], בעמ' 378-377). רק במקרים חריגים ומצומצמים כגון אלה מתקיים "טעם מיוחד" המצדיק כי הערכאה השנייה תיזקק לטענות הנוגעות לסמכותה לדון בתביעה שבפניה על</w:t>
      </w:r>
      <w:r>
        <w:rPr>
          <w:rFonts w:ascii="David" w:hAnsi="David" w:cs="David"/>
          <w:b/>
          <w:bCs/>
          <w:position w:val="4"/>
          <w:sz w:val="22"/>
          <w:szCs w:val="22"/>
          <w:rtl/>
        </w:rPr>
        <w:t>-</w:t>
      </w:r>
      <w:r>
        <w:rPr>
          <w:rFonts w:ascii="David" w:hAnsi="David" w:cs="David"/>
          <w:b/>
          <w:bCs/>
          <w:sz w:val="22"/>
          <w:szCs w:val="22"/>
          <w:rtl/>
        </w:rPr>
        <w:t xml:space="preserve">אף קיומה של הכרעה סותרת בנוגע לסמכות (השוו: </w:t>
      </w:r>
      <w:proofErr w:type="spellStart"/>
      <w:r>
        <w:rPr>
          <w:rFonts w:ascii="David" w:hAnsi="David" w:cs="David"/>
          <w:b/>
          <w:bCs/>
          <w:sz w:val="22"/>
          <w:szCs w:val="22"/>
          <w:rtl/>
        </w:rPr>
        <w:t>בד"מ</w:t>
      </w:r>
      <w:proofErr w:type="spellEnd"/>
      <w:r>
        <w:rPr>
          <w:rFonts w:ascii="David" w:hAnsi="David" w:cs="David"/>
          <w:b/>
          <w:bCs/>
          <w:sz w:val="22"/>
          <w:szCs w:val="22"/>
          <w:rtl/>
        </w:rPr>
        <w:t xml:space="preserve"> 1/81 נגר הנ"ל [9], בעמ' 400; ע"א 680/84 שני נ' שני [27], בעמ' 447).</w:t>
      </w:r>
      <w:r>
        <w:rPr>
          <w:sz w:val="22"/>
          <w:szCs w:val="22"/>
          <w:rtl/>
        </w:rPr>
        <w:t>"</w:t>
      </w:r>
    </w:p>
    <w:p w:rsidR="007D053A" w:rsidRDefault="007D053A" w:rsidP="007D053A">
      <w:pPr>
        <w:spacing w:before="240" w:after="240" w:line="360" w:lineRule="auto"/>
        <w:jc w:val="both"/>
        <w:rPr>
          <w:rFonts w:ascii="Arial" w:hAnsi="Arial"/>
          <w:noProof w:val="0"/>
          <w:sz w:val="22"/>
          <w:szCs w:val="22"/>
          <w:rtl/>
        </w:rPr>
      </w:pPr>
      <w:r>
        <w:rPr>
          <w:rFonts w:ascii="Arial" w:hAnsi="Arial"/>
          <w:noProof w:val="0"/>
          <w:rtl/>
        </w:rPr>
        <w:t xml:space="preserve"> </w:t>
      </w:r>
      <w:r>
        <w:rPr>
          <w:rFonts w:ascii="Arial" w:hAnsi="Arial"/>
          <w:noProof w:val="0"/>
          <w:rtl/>
        </w:rPr>
        <w:tab/>
      </w:r>
      <w:r>
        <w:rPr>
          <w:rFonts w:ascii="Arial" w:hAnsi="Arial"/>
          <w:noProof w:val="0"/>
          <w:rtl/>
        </w:rPr>
        <w:tab/>
      </w:r>
      <w:r>
        <w:rPr>
          <w:rFonts w:ascii="Arial" w:hAnsi="Arial"/>
          <w:noProof w:val="0"/>
          <w:sz w:val="22"/>
          <w:szCs w:val="22"/>
          <w:rtl/>
        </w:rPr>
        <w:t xml:space="preserve">    [עניין </w:t>
      </w:r>
      <w:proofErr w:type="spellStart"/>
      <w:r>
        <w:rPr>
          <w:rFonts w:ascii="Arial" w:hAnsi="Arial"/>
          <w:noProof w:val="0"/>
          <w:sz w:val="22"/>
          <w:szCs w:val="22"/>
          <w:rtl/>
        </w:rPr>
        <w:t>פלמן</w:t>
      </w:r>
      <w:proofErr w:type="spellEnd"/>
      <w:r>
        <w:rPr>
          <w:rFonts w:ascii="Arial" w:hAnsi="Arial"/>
          <w:noProof w:val="0"/>
          <w:sz w:val="22"/>
          <w:szCs w:val="22"/>
          <w:rtl/>
        </w:rPr>
        <w:t>, שם.]</w:t>
      </w:r>
    </w:p>
    <w:p w:rsidR="007D053A" w:rsidRDefault="007D053A" w:rsidP="007D053A">
      <w:pPr>
        <w:spacing w:before="240" w:after="240" w:line="360" w:lineRule="auto"/>
        <w:jc w:val="both"/>
        <w:rPr>
          <w:rFonts w:ascii="Arial" w:hAnsi="Arial"/>
          <w:noProof w:val="0"/>
          <w:rtl/>
        </w:rPr>
      </w:pPr>
      <w:r>
        <w:rPr>
          <w:rFonts w:ascii="Arial" w:hAnsi="Arial"/>
          <w:noProof w:val="0"/>
          <w:rtl/>
        </w:rPr>
        <w:t xml:space="preserve">לנוכח האמור לעיל, ובהתאם לפסיקת כב' </w:t>
      </w:r>
      <w:proofErr w:type="spellStart"/>
      <w:r>
        <w:rPr>
          <w:rFonts w:ascii="Arial" w:hAnsi="Arial"/>
          <w:noProof w:val="0"/>
          <w:rtl/>
        </w:rPr>
        <w:t>הש</w:t>
      </w:r>
      <w:proofErr w:type="spellEnd"/>
      <w:r>
        <w:rPr>
          <w:rFonts w:ascii="Arial" w:hAnsi="Arial"/>
          <w:noProof w:val="0"/>
          <w:rtl/>
        </w:rPr>
        <w:t xml:space="preserve">' שאול שוחט </w:t>
      </w:r>
      <w:proofErr w:type="spellStart"/>
      <w:r>
        <w:rPr>
          <w:rFonts w:ascii="Arial" w:hAnsi="Arial"/>
          <w:noProof w:val="0"/>
          <w:rtl/>
        </w:rPr>
        <w:t>ברמ"ש</w:t>
      </w:r>
      <w:proofErr w:type="spellEnd"/>
      <w:r>
        <w:rPr>
          <w:rFonts w:ascii="Arial" w:hAnsi="Arial"/>
          <w:noProof w:val="0"/>
          <w:rtl/>
        </w:rPr>
        <w:t xml:space="preserve"> 23962-11-22 אני קובעת כי החלטת כב' בית הדין הרבני מיום 24.7.23 בה נקבע כי הסמכות לדון בתביעת המזונות של הקטינה, ניתנה בניגוד להלכותיו של כב' בית המשפט העליון ומשכך היא בטלה והסמכות לדון בתביעת מזונותיה של הקטינה נתונה לבית משפט זה. לפיכך, הבקשה לסילוק על הסף נדחית.</w:t>
      </w:r>
    </w:p>
    <w:p w:rsidR="007D053A" w:rsidRDefault="007D053A" w:rsidP="007D053A">
      <w:pPr>
        <w:spacing w:before="240" w:after="240" w:line="360" w:lineRule="auto"/>
        <w:jc w:val="both"/>
        <w:rPr>
          <w:rFonts w:ascii="Arial" w:hAnsi="Arial"/>
          <w:noProof w:val="0"/>
          <w:rtl/>
        </w:rPr>
      </w:pPr>
      <w:r>
        <w:rPr>
          <w:rFonts w:ascii="Arial" w:hAnsi="Arial"/>
          <w:noProof w:val="0"/>
          <w:rtl/>
        </w:rPr>
        <w:t xml:space="preserve">לנוכח קביעתי יגיש האב תגובתו לבקשה למזונות הזמניים  הן של הקטינה והן של האם בתוך 7 ימים. </w:t>
      </w:r>
    </w:p>
    <w:p w:rsidR="007D053A" w:rsidRDefault="007D053A" w:rsidP="007D053A">
      <w:pPr>
        <w:spacing w:before="240" w:after="240" w:line="360" w:lineRule="auto"/>
        <w:jc w:val="both"/>
        <w:rPr>
          <w:rFonts w:ascii="Arial" w:hAnsi="Arial"/>
          <w:noProof w:val="0"/>
          <w:rtl/>
        </w:rPr>
      </w:pPr>
      <w:r>
        <w:rPr>
          <w:rFonts w:ascii="Arial" w:hAnsi="Arial"/>
          <w:noProof w:val="0"/>
          <w:rtl/>
        </w:rPr>
        <w:t xml:space="preserve">כך גם הצדדים שניהם יגישו בתוך 7 ימים תצהיר המפרט את חלוקת זמני השהות של הקטינה </w:t>
      </w:r>
      <w:r w:rsidR="00E11529">
        <w:rPr>
          <w:rFonts w:ascii="Arial" w:hAnsi="Arial"/>
          <w:noProof w:val="0"/>
        </w:rPr>
        <w:t>xxx</w:t>
      </w:r>
      <w:r>
        <w:rPr>
          <w:rFonts w:ascii="Arial" w:hAnsi="Arial"/>
          <w:noProof w:val="0"/>
          <w:rtl/>
        </w:rPr>
        <w:t xml:space="preserve"> עם כל אחד מההורים </w:t>
      </w:r>
      <w:proofErr w:type="spellStart"/>
      <w:r>
        <w:rPr>
          <w:rFonts w:ascii="Arial" w:hAnsi="Arial"/>
          <w:noProof w:val="0"/>
          <w:rtl/>
        </w:rPr>
        <w:t>בלווית</w:t>
      </w:r>
      <w:proofErr w:type="spellEnd"/>
      <w:r>
        <w:rPr>
          <w:rFonts w:ascii="Arial" w:hAnsi="Arial"/>
          <w:noProof w:val="0"/>
          <w:rtl/>
        </w:rPr>
        <w:t xml:space="preserve"> טבלה המפרטת את ימי שהותה של </w:t>
      </w:r>
      <w:r w:rsidR="00E11529">
        <w:rPr>
          <w:rFonts w:ascii="Arial" w:hAnsi="Arial"/>
          <w:noProof w:val="0"/>
        </w:rPr>
        <w:t>xxx</w:t>
      </w:r>
      <w:r>
        <w:rPr>
          <w:rFonts w:ascii="Arial" w:hAnsi="Arial"/>
          <w:noProof w:val="0"/>
          <w:rtl/>
        </w:rPr>
        <w:t xml:space="preserve"> עם כל אחד מההורים במהלך 30 ימים אח</w:t>
      </w:r>
      <w:r w:rsidR="00E11529">
        <w:rPr>
          <w:rFonts w:ascii="Arial" w:hAnsi="Arial"/>
          <w:noProof w:val="0"/>
        </w:rPr>
        <w:t>xxx</w:t>
      </w:r>
      <w:r>
        <w:rPr>
          <w:rFonts w:ascii="Arial" w:hAnsi="Arial"/>
          <w:noProof w:val="0"/>
          <w:rtl/>
        </w:rPr>
        <w:t>ם.</w:t>
      </w:r>
    </w:p>
    <w:p w:rsidR="007D053A" w:rsidRDefault="007D053A" w:rsidP="007D053A">
      <w:pPr>
        <w:spacing w:before="240" w:after="240" w:line="360" w:lineRule="auto"/>
        <w:jc w:val="both"/>
        <w:rPr>
          <w:rFonts w:ascii="Arial" w:hAnsi="Arial"/>
          <w:noProof w:val="0"/>
        </w:rPr>
      </w:pPr>
      <w:r>
        <w:rPr>
          <w:rFonts w:ascii="Arial" w:hAnsi="Arial"/>
          <w:noProof w:val="0"/>
          <w:rtl/>
        </w:rPr>
        <w:t>משנדחתה הבקשה מצאתי להטיל  על האב הוצאות בסך 1,500 ₪ אשר ישולמו לאם בתוך 7 ימים.</w:t>
      </w:r>
    </w:p>
    <w:p w:rsidR="007D053A" w:rsidRDefault="007D053A" w:rsidP="007D053A">
      <w:pPr>
        <w:spacing w:before="240" w:after="240" w:line="360" w:lineRule="auto"/>
        <w:jc w:val="both"/>
        <w:rPr>
          <w:rFonts w:ascii="Arial" w:hAnsi="Arial"/>
          <w:noProof w:val="0"/>
          <w:rtl/>
        </w:rPr>
      </w:pPr>
      <w:r>
        <w:rPr>
          <w:rFonts w:ascii="Arial" w:hAnsi="Arial"/>
          <w:noProof w:val="0"/>
          <w:rtl/>
        </w:rPr>
        <w:t>החלטתי ניתנת לפרסום בהעדר פרטים מזהים.</w:t>
      </w:r>
    </w:p>
    <w:p w:rsidR="007D053A" w:rsidRDefault="007D053A" w:rsidP="007D053A">
      <w:pPr>
        <w:spacing w:before="240" w:after="240" w:line="360" w:lineRule="auto"/>
        <w:jc w:val="both"/>
        <w:rPr>
          <w:rFonts w:ascii="Arial" w:hAnsi="Arial"/>
          <w:noProof w:val="0"/>
          <w:rtl/>
        </w:rPr>
      </w:pPr>
      <w:r>
        <w:rPr>
          <w:rFonts w:ascii="Arial" w:hAnsi="Arial"/>
          <w:noProof w:val="0"/>
          <w:rtl/>
        </w:rPr>
        <w:t>ת.פ. 8 ימים</w:t>
      </w:r>
    </w:p>
    <w:p w:rsidR="007D053A" w:rsidRDefault="007D053A" w:rsidP="007D053A">
      <w:pPr>
        <w:pStyle w:val="ad"/>
        <w:rPr>
          <w:rFonts w:ascii="Arial" w:hAnsi="Arial"/>
          <w:noProof w:val="0"/>
        </w:rPr>
      </w:pPr>
    </w:p>
    <w:p w:rsidR="007D053A" w:rsidRDefault="007D053A" w:rsidP="007D053A">
      <w:pPr>
        <w:pStyle w:val="ad"/>
        <w:spacing w:line="360" w:lineRule="auto"/>
        <w:jc w:val="both"/>
        <w:rPr>
          <w:rFonts w:ascii="Arial" w:hAnsi="Arial"/>
          <w:noProof w:val="0"/>
          <w:rtl/>
        </w:rPr>
      </w:pPr>
    </w:p>
    <w:p w:rsidR="007D053A" w:rsidRDefault="007D053A" w:rsidP="007D053A">
      <w:pPr>
        <w:pStyle w:val="ad"/>
        <w:spacing w:line="360" w:lineRule="auto"/>
        <w:jc w:val="both"/>
        <w:rPr>
          <w:rFonts w:ascii="Arial" w:hAnsi="Arial"/>
          <w:noProof w:val="0"/>
        </w:rPr>
      </w:pPr>
    </w:p>
    <w:p w:rsidR="007D053A" w:rsidRDefault="007D053A" w:rsidP="007D053A">
      <w:pPr>
        <w:spacing w:line="360" w:lineRule="auto"/>
        <w:jc w:val="both"/>
        <w:rPr>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ט"ז חשוון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31 אוקטובר 2023</w:t>
          </w:r>
        </w:sdtContent>
      </w:sdt>
      <w:r w:rsidR="00005C8B">
        <w:rPr>
          <w:rFonts w:ascii="Arial" w:hAnsi="Arial"/>
          <w:noProof w:val="0"/>
          <w:rtl/>
        </w:rPr>
        <w:t>, בהעדר הצדדים.</w:t>
      </w:r>
    </w:p>
    <w:p w:rsidR="00C43648" w:rsidRDefault="00033017"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79414724"/>
        </w:sdtPr>
        <w:sdtEndPr/>
        <w:sdtContent>
          <w:r w:rsidR="00414D91">
            <w:drawing>
              <wp:inline distT="0" distB="0" distL="0" distR="0" wp14:editId="50D07946">
                <wp:extent cx="1314450" cy="1533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314450" cy="15335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11"/>
      <w:headerReference w:type="default" r:id="rId12"/>
      <w:footerReference w:type="even" r:id="rId13"/>
      <w:footerReference w:type="default" r:id="rId14"/>
      <w:headerReference w:type="first" r:id="rId15"/>
      <w:footerReference w:type="first" r:id="rId16"/>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3017" w:rsidRDefault="00033017">
      <w:r>
        <w:separator/>
      </w:r>
    </w:p>
  </w:endnote>
  <w:endnote w:type="continuationSeparator" w:id="0">
    <w:p w:rsidR="00033017" w:rsidRDefault="00033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2AE6" w:rsidRDefault="00A02AE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A02AE6">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A02AE6">
      <w:rPr>
        <w:rStyle w:val="ab"/>
        <w:rtl/>
      </w:rPr>
      <w:t>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2AE6" w:rsidRDefault="00A02AE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3017" w:rsidRDefault="00033017">
      <w:r>
        <w:separator/>
      </w:r>
    </w:p>
  </w:footnote>
  <w:footnote w:type="continuationSeparator" w:id="0">
    <w:p w:rsidR="00033017" w:rsidRDefault="000330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2AE6" w:rsidRDefault="00A02AE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033017" w:rsidP="00E11529">
          <w:pPr>
            <w:rPr>
              <w:b/>
              <w:bCs/>
              <w:noProof w:val="0"/>
              <w:sz w:val="26"/>
              <w:szCs w:val="26"/>
              <w:rtl/>
            </w:rPr>
          </w:pPr>
          <w:sdt>
            <w:sdtPr>
              <w:rPr>
                <w:rtl/>
              </w:rPr>
              <w:alias w:val="1170"/>
              <w:tag w:val="1170"/>
              <w:id w:val="1066377040"/>
              <w:text w:multiLine="1"/>
            </w:sdtPr>
            <w:sdtEndPr/>
            <w:sdtContent>
              <w:proofErr w:type="spellStart"/>
              <w:r w:rsidR="00064651">
                <w:rPr>
                  <w:b/>
                  <w:bCs/>
                  <w:noProof w:val="0"/>
                  <w:sz w:val="26"/>
                  <w:szCs w:val="26"/>
                  <w:rtl/>
                </w:rPr>
                <w:t>תלה"מ</w:t>
              </w:r>
              <w:proofErr w:type="spellEnd"/>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064651">
                <w:rPr>
                  <w:b/>
                  <w:bCs/>
                  <w:noProof w:val="0"/>
                  <w:sz w:val="26"/>
                  <w:szCs w:val="26"/>
                  <w:rtl/>
                </w:rPr>
                <w:t>24176-07-23</w:t>
              </w:r>
            </w:sdtContent>
          </w:sdt>
          <w:bookmarkEnd w:id="1"/>
          <w:r w:rsidR="00005C8B">
            <w:rPr>
              <w:b/>
              <w:bCs/>
              <w:noProof w:val="0"/>
              <w:sz w:val="26"/>
              <w:szCs w:val="26"/>
              <w:rtl/>
            </w:rPr>
            <w:t xml:space="preserve"> </w:t>
          </w:r>
          <w:sdt>
            <w:sdtPr>
              <w:rPr>
                <w:rtl/>
              </w:rPr>
              <w:alias w:val="1172"/>
              <w:tag w:val="1172"/>
              <w:id w:val="-595170033"/>
              <w:text w:multiLine="1"/>
            </w:sdtPr>
            <w:sdtEndPr/>
            <w:sdtContent>
              <w:r w:rsidR="00064651">
                <w:rPr>
                  <w:b/>
                  <w:bCs/>
                  <w:noProof w:val="0"/>
                  <w:sz w:val="26"/>
                  <w:szCs w:val="26"/>
                  <w:rtl/>
                </w:rPr>
                <w:t>ר נ' ב</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2AE6" w:rsidRDefault="00A02AE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41791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417910&amp;lt;/CaseID&amp;gt;_x000d__x000a_        &amp;lt;CaseMonth&amp;gt;7&amp;lt;/CaseMonth&amp;gt;_x000d__x000a_        &amp;lt;CaseYear&amp;gt;2023&amp;lt;/CaseYear&amp;gt;_x000d__x000a_        &amp;lt;CaseNumber&amp;gt;24176&amp;lt;/CaseNumber&amp;gt;_x000d__x000a_        &amp;lt;NumeratorGroupID&amp;gt;1&amp;lt;/NumeratorGroupID&amp;gt;_x000d__x000a_        &amp;lt;CaseName&amp;gt;רלבג נ&amp;#39; בוזגלו&amp;lt;/CaseName&amp;gt;_x000d__x000a_        &amp;lt;CourtID&amp;gt;35&amp;lt;/CourtID&amp;gt;_x000d__x000a_        &amp;lt;CaseTypeID&amp;gt;10262&amp;lt;/CaseTypeID&amp;gt;_x000d__x000a_        &amp;lt;CaseInterestID&amp;gt;10118&amp;lt;/CaseInterestID&amp;gt;_x000d__x000a_        &amp;lt;CaseJudgeName&amp;gt;אפרת ונקרט&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4176-07-23&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NextDeterminingTask&amp;gt;140&amp;lt;/CaseNextDeterminingTask&amp;gt;_x000d__x000a_        &amp;lt;TemporaryAidStatus /&amp;gt;_x000d__x000a_        &amp;lt;CaseOpenDate&amp;gt;2023-07-11T12:01: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אפרת&amp;lt;/CaseJudgeFirstName&amp;gt;_x000d__x000a_        &amp;lt;CaseJudgeLastName&amp;gt;ונקרט&amp;lt;/CaseJudgeLastName&amp;gt;_x000d__x000a_        &amp;lt;JudicalPersonID&amp;gt;02225960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417910&amp;lt;/CaseID&amp;gt;_x000d__x000a_        &amp;lt;CaseMonth&amp;gt;7&amp;lt;/CaseMonth&amp;gt;_x000d__x000a_        &amp;lt;CaseYear&amp;gt;2023&amp;lt;/CaseYear&amp;gt;_x000d__x000a_        &amp;lt;CaseNumber&amp;gt;24176&amp;lt;/CaseNumber&amp;gt;_x000d__x000a_        &amp;lt;NumeratorGroupID&amp;gt;1&amp;lt;/NumeratorGroupID&amp;gt;_x000d__x000a_        &amp;lt;CaseName&amp;gt;רלבג נ&amp;#39; בוזגלו&amp;lt;/CaseName&amp;gt;_x000d__x000a_        &amp;lt;CourtID&amp;gt;35&amp;lt;/CourtID&amp;gt;_x000d__x000a_        &amp;lt;CaseTypeID&amp;gt;10262&amp;lt;/CaseTypeID&amp;gt;_x000d__x000a_        &amp;lt;CaseInterestID&amp;gt;10118&amp;lt;/CaseInterestID&amp;gt;_x000d__x000a_        &amp;lt;CaseJudgeName&amp;gt;אפרת ונקרט&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4176-07-23&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CaseNextDeterminingTask&amp;gt;140&amp;lt;/CaseNextDeterminingTask&amp;gt;_x000d__x000a_        &amp;lt;CaseOpenDate&amp;gt;2023-07-11T12:01: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אפרת&amp;lt;/CaseJudgeFirstName&amp;gt;_x000d__x000a_        &amp;lt;CaseJudgeLastName&amp;gt;ונקרט&amp;lt;/CaseJudgeLastName&amp;gt;_x000d__x000a_        &amp;lt;JudicalPersonID&amp;gt;02225960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10-31T23:34:56.2180896+02:00&amp;lt;/DecisionStatusChangeDate&amp;gt;_x000d__x000a_        &amp;lt;DecisionSignatureDate&amp;gt;2023-10-31T23:34:56.2180896+02:00&amp;lt;/DecisionSignatureDate&amp;gt;_x000d__x000a_        &amp;lt;DecisionSignatureUserID&amp;gt;022259600@GOV.IL&amp;lt;/DecisionSignatureUserID&amp;gt;_x000d__x000a_        &amp;lt;DecisionCreateDate&amp;gt;2023-10-31T23:34:56.2180896+02:00&amp;lt;/DecisionCreateDate&amp;gt;_x000d__x000a_        &amp;lt;DecisionChangeDate&amp;gt;2023-10-31T23:34:56.2180896+02:00&amp;lt;/DecisionChangeDate&amp;gt;_x000d__x000a_        &amp;lt;DecisionChangeUserID&amp;gt;02225960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25960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259600@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6&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0417910&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118"/>
    <w:docVar w:name="NGCS.TemplateCaseTypeID" w:val="10262"/>
    <w:docVar w:name="NGCS.TemplateCategoryID" w:val="80"/>
    <w:docVar w:name="NGCS.TemplateCourtID" w:val="35"/>
    <w:docVar w:name="NGCS.TemplateProceedingID" w:val="3"/>
    <w:docVar w:name="SelectedDocumentID" w:val="424554970"/>
    <w:docVar w:name="WordClientAssemblyName" w:val="NGCS.Decision.ClientWordBL"/>
    <w:docVar w:name="WordClientClassName" w:val="NGCS.Decision.ClientWordBL.DecisionClient"/>
  </w:docVars>
  <w:rsids>
    <w:rsidRoot w:val="00694556"/>
    <w:rsid w:val="00000062"/>
    <w:rsid w:val="0000226B"/>
    <w:rsid w:val="00005C8B"/>
    <w:rsid w:val="0001353E"/>
    <w:rsid w:val="000229A1"/>
    <w:rsid w:val="00033017"/>
    <w:rsid w:val="000529D2"/>
    <w:rsid w:val="000564AB"/>
    <w:rsid w:val="00064651"/>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65FF"/>
    <w:rsid w:val="00234943"/>
    <w:rsid w:val="00271B56"/>
    <w:rsid w:val="0028443A"/>
    <w:rsid w:val="002C344E"/>
    <w:rsid w:val="002C3F4A"/>
    <w:rsid w:val="002E75E9"/>
    <w:rsid w:val="00307A6A"/>
    <w:rsid w:val="00307C40"/>
    <w:rsid w:val="0031793F"/>
    <w:rsid w:val="00320433"/>
    <w:rsid w:val="003230C7"/>
    <w:rsid w:val="00327E50"/>
    <w:rsid w:val="0033597A"/>
    <w:rsid w:val="00343D89"/>
    <w:rsid w:val="00362612"/>
    <w:rsid w:val="0036743F"/>
    <w:rsid w:val="003715DD"/>
    <w:rsid w:val="003823E0"/>
    <w:rsid w:val="003A4521"/>
    <w:rsid w:val="003D1C8C"/>
    <w:rsid w:val="0040096C"/>
    <w:rsid w:val="00414D91"/>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F4F09"/>
    <w:rsid w:val="0061431B"/>
    <w:rsid w:val="00617441"/>
    <w:rsid w:val="00622BAA"/>
    <w:rsid w:val="006306CF"/>
    <w:rsid w:val="00644E9A"/>
    <w:rsid w:val="00671BD5"/>
    <w:rsid w:val="006805C1"/>
    <w:rsid w:val="00686C21"/>
    <w:rsid w:val="006931C1"/>
    <w:rsid w:val="00694556"/>
    <w:rsid w:val="006C30C5"/>
    <w:rsid w:val="006C4820"/>
    <w:rsid w:val="006D3B31"/>
    <w:rsid w:val="006E0D96"/>
    <w:rsid w:val="006E1A53"/>
    <w:rsid w:val="006F56E6"/>
    <w:rsid w:val="00704EDA"/>
    <w:rsid w:val="00721122"/>
    <w:rsid w:val="00753019"/>
    <w:rsid w:val="00754801"/>
    <w:rsid w:val="00761441"/>
    <w:rsid w:val="00795365"/>
    <w:rsid w:val="007A351D"/>
    <w:rsid w:val="007B7765"/>
    <w:rsid w:val="007C5BDD"/>
    <w:rsid w:val="007D053A"/>
    <w:rsid w:val="007D45E3"/>
    <w:rsid w:val="007E6115"/>
    <w:rsid w:val="007F4609"/>
    <w:rsid w:val="00814468"/>
    <w:rsid w:val="008176A1"/>
    <w:rsid w:val="00820005"/>
    <w:rsid w:val="00844318"/>
    <w:rsid w:val="0086061C"/>
    <w:rsid w:val="00863F5D"/>
    <w:rsid w:val="00870890"/>
    <w:rsid w:val="00873602"/>
    <w:rsid w:val="00875D12"/>
    <w:rsid w:val="00876E35"/>
    <w:rsid w:val="00881CCE"/>
    <w:rsid w:val="0088479D"/>
    <w:rsid w:val="00896889"/>
    <w:rsid w:val="00897DAF"/>
    <w:rsid w:val="008C5714"/>
    <w:rsid w:val="008D0CBF"/>
    <w:rsid w:val="008D10B2"/>
    <w:rsid w:val="00903896"/>
    <w:rsid w:val="00906F3D"/>
    <w:rsid w:val="0094424E"/>
    <w:rsid w:val="00955642"/>
    <w:rsid w:val="009622DF"/>
    <w:rsid w:val="0096493F"/>
    <w:rsid w:val="00967DFF"/>
    <w:rsid w:val="00994341"/>
    <w:rsid w:val="00996935"/>
    <w:rsid w:val="009D1A48"/>
    <w:rsid w:val="009E1CE7"/>
    <w:rsid w:val="009E4EA5"/>
    <w:rsid w:val="009F164B"/>
    <w:rsid w:val="009F323C"/>
    <w:rsid w:val="00A02AE6"/>
    <w:rsid w:val="00A3392B"/>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5356E"/>
    <w:rsid w:val="00B804C1"/>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E1E7D"/>
    <w:rsid w:val="00DE6BF6"/>
    <w:rsid w:val="00E04E84"/>
    <w:rsid w:val="00E1068A"/>
    <w:rsid w:val="00E11529"/>
    <w:rsid w:val="00E25884"/>
    <w:rsid w:val="00E25B55"/>
    <w:rsid w:val="00E31C2B"/>
    <w:rsid w:val="00E5426A"/>
    <w:rsid w:val="00E54642"/>
    <w:rsid w:val="00E54CD9"/>
    <w:rsid w:val="00E80CBE"/>
    <w:rsid w:val="00E962E3"/>
    <w:rsid w:val="00EB6C79"/>
    <w:rsid w:val="00EC37E9"/>
    <w:rsid w:val="00F038D8"/>
    <w:rsid w:val="00F06995"/>
    <w:rsid w:val="00F13623"/>
    <w:rsid w:val="00F44D1D"/>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semiHidden/>
    <w:unhideWhenUsed/>
    <w:rsid w:val="007D053A"/>
    <w:rPr>
      <w:color w:val="0000FF"/>
      <w:u w:val="single"/>
    </w:rPr>
  </w:style>
  <w:style w:type="paragraph" w:styleId="ad">
    <w:name w:val="List Paragraph"/>
    <w:basedOn w:val="a"/>
    <w:qFormat/>
    <w:rsid w:val="007D053A"/>
    <w:pPr>
      <w:ind w:left="720"/>
      <w:contextualSpacing/>
    </w:pPr>
  </w:style>
  <w:style w:type="paragraph" w:customStyle="1" w:styleId="ae">
    <w:name w:val="כללי"/>
    <w:basedOn w:val="a"/>
    <w:rsid w:val="007D053A"/>
    <w:pPr>
      <w:overflowPunct w:val="0"/>
      <w:autoSpaceDE w:val="0"/>
      <w:autoSpaceDN w:val="0"/>
      <w:adjustRightInd w:val="0"/>
      <w:spacing w:after="240" w:line="280" w:lineRule="exact"/>
      <w:ind w:firstLine="284"/>
      <w:jc w:val="both"/>
    </w:pPr>
    <w:rPr>
      <w:rFonts w:cs="FrankRuehl"/>
      <w:noProof w:val="0"/>
      <w:sz w:val="20"/>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116419">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nevo.co.il/case/23506789"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427932" w:rsidP="00427932">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405FEA"/>
    <w:rsid w:val="00427932"/>
    <w:rsid w:val="004745AE"/>
    <w:rsid w:val="0048651F"/>
    <w:rsid w:val="005157ED"/>
    <w:rsid w:val="00556D67"/>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6C06"/>
    <w:rsid w:val="00D8705B"/>
    <w:rsid w:val="00E31BF6"/>
    <w:rsid w:val="00E819C4"/>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427932"/>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80417910</CaseID>
    <CaseJudicialPersonPresentationDS>
      <CaseJudicalPersonActive>
        <CaseID>80417910</CaseID>
        <JudicialPersonID>022259600@GOV.IL</JudicialPersonID>
        <JudicialPersonTypeID>1</JudicialPersonTypeID>
        <JudicialTypeID>1</JudicialTypeID>
        <IsChairman>false</IsChairman>
        <TreatmentStartDate>2023-07-11T12:04:38.887+03:00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יוסף גביזון</FullName>
        <FirstName>יוסף</FirstName>
        <LastName>גביזון</LastName>
        <PartyPropertyName/>
        <AuthenticationTypeAndNumber>מ.ר. 79340</AuthenticationTypeAndNumber>
        <RepresentatedOrRepresentativesNames>אברהם בוזגלו</RepresentatedOrRepresentativesNames>
        <RepresentatedOrRepresentativesCount>1</RepresentatedOrRepresentativesCount>
        <InvitedBy/>
        <CaseID>80417910</CaseID>
        <CaseJudicialPersonPresentationDS>
          <CaseJudicalPersonActive>
            <CaseID>80417910</CaseID>
            <JudicialPersonID>022259600@GOV.IL</JudicialPersonID>
            <JudicialPersonTypeID>1</JudicialPersonTypeID>
            <JudicialTypeID>1</JudicialTypeID>
            <IsChairman>false</IsChairman>
            <TreatmentStartDate>2023-07-11T12:04:38.887+03:00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258446185</CasePartyID>
        <PartyTypeID>2</PartyTypeID>
        <ActivityStatusID>1</ActivityStatusID>
        <PartyAliasID>21</PartyAliasID>
        <PartyAliasName>בא כוח נתבעים</PartyAliasName>
        <LegalEntityID>77048952</LegalEntityID>
        <CaseLegalEntityID>125194999</CaseLegalEntityID>
        <AuthenticationTypeID>4</AuthenticationTypeID>
        <AuthenticationTypeName>מ.ר.</AuthenticationTypeName>
        <LegalEntityNumber>79340</LegalEntityNumber>
        <IsMainPartyType>true</IsMainPartyType>
        <CaseDisplayIdentifier>24176-07-23</CaseDisplayIdentifier>
        <CaseTypeID>10262</CaseTypeID>
        <CaseTypeName>תביעה לאחר הסדר התדיינויות במשפחה (תלה"מ)</CaseTypeName>
        <CaseName>רלבג נ' בוזגלו</CaseName>
        <FullAddress>ביאליק 2 רמלה </FullAddress>
        <EmailAddress>advgabizon@gmail.com</EmailAddress>
        <MotionID>0</MotionID>
        <CasePleaID>0</CasePleaID>
        <LinkedCaseID>0</LinkedCaseID>
        <PartyID>2</PartyID>
        <CasePartyCategoryID>2</CasePartyCategoryID>
        <LegalEntityAddressID>81010532</LegalEntityAddressID>
        <LegalEntityEmailAddressID>67973737</LegalEntityEmailAddressID>
        <PleaTypeID>4</PleaTypeID>
        <LawyerOfficeName>משרד עו"ד יוסף גביזון</LawyerOfficeName>
        <LawyerOfficeID>77048953</LawyerOfficeID>
        <GroupPartyAlias/>
        <IsConverted>false</IsConverted>
        <LegalEntityNameID>85376221</LegalEntityNameID>
        <RepresentatedNamesOfAssistant/>
        <LegalEntityTypeID>4</LegalEntityTypeID>
        <IsVerdictExists>false</IsVerdictExists>
        <IsAsirAzir>false</IsAsirAzir>
        <IsPublicationProhibited>false</IsPublicationProhibited>
        <PublicationProhibitedFullName>יוסף גביזון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נטע רלבג</FullName>
        <FirstName>נטע</FirstName>
        <LastName>רלבג</LastName>
        <PartyPropertyName/>
        <AuthenticationTypeAndNumber>ת"ז 200116135</AuthenticationTypeAndNumber>
        <RepresentatedOrRepresentativesNames>נתנאל ירימי</RepresentatedOrRepresentativesNames>
        <RepresentatedOrRepresentativesCount>1</RepresentatedOrRepresentativesCount>
        <InvitedBy/>
        <CaseID>80417910</CaseID>
        <CaseJudicialPersonPresentationDS>
          <CaseJudicalPersonActive>
            <CaseID>80417910</CaseID>
            <JudicialPersonID>022259600@GOV.IL</JudicialPersonID>
            <JudicialPersonTypeID>1</JudicialPersonTypeID>
            <JudicialTypeID>1</JudicialTypeID>
            <IsChairman>false</IsChairman>
            <TreatmentStartDate>2023-07-11T12:04:38.887+03:00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258196122</CasePartyID>
        <PartyTypeID>1</PartyTypeID>
        <ActivityStatusID>1</ActivityStatusID>
        <PartyAliasID>1</PartyAliasID>
        <PartyAliasName>תובע</PartyAliasName>
        <OrdinalNumber>1</OrdinalNumber>
        <LegalEntityID>81074433</LegalEntityID>
        <CaseLegalEntityID>125118925</CaseLegalEntityID>
        <AuthenticationTypeID>1</AuthenticationTypeID>
        <AuthenticationTypeName>ת"ז</AuthenticationTypeName>
        <LegalEntityNumber>200116135</LegalEntityNumber>
        <IsMainPartyType>true</IsMainPartyType>
        <CaseDisplayIdentifier>24176-07-23</CaseDisplayIdentifier>
        <CaseTypeID>10262</CaseTypeID>
        <CaseTypeName>תביעה לאחר הסדר התדיינויות במשפחה (תלה"מ)</CaseTypeName>
        <CaseName>רלבג נ' בוזגלו</CaseName>
        <FullAddress>גרינשטיין 18 פתח תקווה </FullAddress>
        <MotionID>0</MotionID>
        <CasePleaID>0</CasePleaID>
        <FatherName>יהונתן</FatherName>
        <LinkedCaseID>0</LinkedCaseID>
        <PartyID>1</PartyID>
        <CasePartyCategoryID>2</CasePartyCategoryID>
        <LegalEntityAddressID>88154075</LegalEntityAddressID>
        <PleaTypeID>4</PleaTypeID>
        <GroupPartyAlias>תובעים</GroupPartyAlias>
        <IsConverted>false</IsConverted>
        <LegalEntityRegisteredNameID>10258538</LegalEntityRegisteredNameID>
        <LegalEntityNameID>95156427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נטע רלבג</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נתנאל ירימי</FullName>
        <FirstName>נתנאל</FirstName>
        <LastName>ירימי</LastName>
        <PartyPropertyName/>
        <AuthenticationTypeAndNumber>מ.ר. 16404</AuthenticationTypeAndNumber>
        <RepresentatedOrRepresentativesNames>נטע רלבג</RepresentatedOrRepresentativesNames>
        <RepresentatedOrRepresentativesCount>1</RepresentatedOrRepresentativesCount>
        <InvitedBy/>
        <CaseID>80417910</CaseID>
        <CaseJudicialPersonPresentationDS>
          <CaseJudicalPersonActive>
            <CaseID>80417910</CaseID>
            <JudicialPersonID>022259600@GOV.IL</JudicialPersonID>
            <JudicialPersonTypeID>1</JudicialPersonTypeID>
            <JudicialTypeID>1</JudicialTypeID>
            <IsChairman>false</IsChairman>
            <TreatmentStartDate>2023-07-11T12:04:38.887+03:00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258196123</CasePartyID>
        <PartyTypeID>2</PartyTypeID>
        <ActivityStatusID>1</ActivityStatusID>
        <PartyAliasID>20</PartyAliasID>
        <PartyAliasName>בא כוח תובעים</PartyAliasName>
        <OrdinalNumber>1</OrdinalNumber>
        <LegalEntityID>387239</LegalEntityID>
        <CaseLegalEntityID>125118926</CaseLegalEntityID>
        <AuthenticationTypeID>4</AuthenticationTypeID>
        <AuthenticationTypeName>מ.ר.</AuthenticationTypeName>
        <LegalEntityNumber>16404</LegalEntityNumber>
        <IsMainPartyType>true</IsMainPartyType>
        <CaseDisplayIdentifier>24176-07-23</CaseDisplayIdentifier>
        <CaseTypeID>10262</CaseTypeID>
        <CaseTypeName>תביעה לאחר הסדר התדיינויות במשפחה (תלה"מ)</CaseTypeName>
        <CaseName>רלבג נ' בוזגלו</CaseName>
        <FullAddress>הארבעה 28 תל אביב -יפו </FullAddress>
        <EmailAddress>yarimi@012.net.il</EmailAddress>
        <MotionID>0</MotionID>
        <CasePleaID>0</CasePleaID>
        <FatherName xml:space="preserve">        </FatherName>
        <LinkedCaseID>0</LinkedCaseID>
        <PartyID>1</PartyID>
        <CasePartyCategoryID>2</CasePartyCategoryID>
        <LegalEntityAddressID>83013503</LegalEntityAddressID>
        <LegalEntityEmailAddressID>68062629</LegalEntityEmailAddressID>
        <PleaTypeID>4</PleaTypeID>
        <LawyerOfficeName>משרד עו"ד: נתנאל ירימי</LawyerOfficeName>
        <LawyerOfficeID>427883</LawyerOfficeID>
        <GroupPartyAlias/>
        <IsConverted>false</IsConverted>
        <LegalEntityNameID>8223</LegalEntityNameID>
        <RepresentatedNamesOfAssistant/>
        <LegalEntityTypeID>4</LegalEntityTypeID>
        <IsVerdictExists>false</IsVerdictExists>
        <IsAsirAzir>false</IsAsirAzir>
        <IsPublicationProhibited>false</IsPublicationProhibited>
        <PublicationProhibitedFullName>נתנאל ירימי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אברהם בוזגלו</FullName>
        <FirstName>אברהם</FirstName>
        <LastName>בוזגלו</LastName>
        <PartyPropertyName/>
        <AuthenticationTypeAndNumber>ת"ז 040441537</AuthenticationTypeAndNumber>
        <RepresentatedOrRepresentativesNames>יוסף גביזון</RepresentatedOrRepresentativesNames>
        <RepresentatedOrRepresentativesCount>1</RepresentatedOrRepresentativesCount>
        <InvitedBy/>
        <CaseID>80417910</CaseID>
        <CaseJudicialPersonPresentationDS>
          <CaseJudicalPersonActive>
            <CaseID>80417910</CaseID>
            <JudicialPersonID>022259600@GOV.IL</JudicialPersonID>
            <JudicialPersonTypeID>1</JudicialPersonTypeID>
            <JudicialTypeID>1</JudicialTypeID>
            <IsChairman>false</IsChairman>
            <TreatmentStartDate>2023-07-11T12:04:38.887+03:00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258196124</CasePartyID>
        <PartyTypeID>1</PartyTypeID>
        <ActivityStatusID>1</ActivityStatusID>
        <PartyAliasID>2</PartyAliasID>
        <PartyAliasName>נתבע</PartyAliasName>
        <OrdinalNumber>1</OrdinalNumber>
        <LegalEntityID>58025499</LegalEntityID>
        <CaseLegalEntityID>125118927</CaseLegalEntityID>
        <AuthenticationTypeID>1</AuthenticationTypeID>
        <AuthenticationTypeName>ת"ז</AuthenticationTypeName>
        <LegalEntityNumber>040441537</LegalEntityNumber>
        <IsMainPartyType>true</IsMainPartyType>
        <CaseDisplayIdentifier>24176-07-23</CaseDisplayIdentifier>
        <CaseTypeID>10262</CaseTypeID>
        <CaseTypeName>תביעה לאחר הסדר התדיינויות במשפחה (תלה"מ)</CaseTypeName>
        <CaseName>רלבג נ' בוזגלו</CaseName>
        <FullAddress>גרינשטיין 18 פתח תקווה </FullAddress>
        <EmailAddress>advgabizon@gmail.com</EmailAddress>
        <MotionID>0</MotionID>
        <CasePleaID>0</CasePleaID>
        <FatherName>אליהו</FatherName>
        <LinkedCaseID>0</LinkedCaseID>
        <PartyID>2</PartyID>
        <CasePartyCategoryID>2</CasePartyCategoryID>
        <LegalEntityAddressID>88154076</LegalEntityAddressID>
        <LegalEntityEmailAddressID>68285350</LegalEntityEmailAddressID>
        <PleaTypeID>4</PleaTypeID>
        <GroupPartyAlias>נתבעים</GroupPartyAlias>
        <IsConverted>false</IsConverted>
        <LegalEntityRegisteredNameID>8846979</LegalEntityRegisteredNameID>
        <LegalEntityNameID>95156428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אברהם בוזגלו</PublicationProhibitedFullName>
      </CaseParties>
    </CasePartiesSelectionDS>
    <DecisionName>החלטה  שניתנה ע"י  אפרת ונקרט</DecisionName>
    <CourtDisplayName>בית משפט לענייני משפחה בפתח תקווה</CourtDisplayName>
    <IsCaseJudgePanel>false</IsCaseJudgePanel>
    <DecisionSignatureDate>2023-10-31T23:34:56.2180896+02:00</DecisionSignatureDate>
    <OpenCaseDate>2023-07-11T12:01:00+03:00</OpenCaseDate>
    <CaseFeeSum>0.000</CaseFeeSum>
    <DecisionTypeID>1</DecisionTypeID>
    <DecisionSignatureUserName>אפרת ונקרט</DecisionSignatureUserName>
    <DecisionSignatureDateHebrew>2023-10-31T23:34:56.2180896+02:00</DecisionSignatureDateHebrew>
    <DecisionWriterID>022259600@GOV.IL</DecisionWriterID>
    <CourtAddress>רח' בזל 1 א', פתח תקווה -1</CourtAddress>
    <IsAutoTextInCaseExist>false</IsAutoTextInCaseExist>
    <DecisionSignatureRoleName>שופט</DecisionSignatureRoleName>
    <DecisionSignatureUserTitleName>שופטת</DecisionSignatureUserTitleName>
    <CaseName>רלבג נ' בוזגלו</CaseName>
    <DecisionNumberInCase>16</DecisionNumberInCase>
  </dt_Decision>
  <dt_DecisionCase>
    <DecisionID>0</DecisionID>
    <CaseID>80417910</CaseID>
    <CaseJudicialPersonPresentationDS>
      <CaseJudicalPersonActive>
        <CaseID>80417910</CaseID>
        <JudicialPersonID>022259600@GOV.IL</JudicialPersonID>
        <JudicialPersonTypeID>1</JudicialPersonTypeID>
        <JudicialTypeID>1</JudicialTypeID>
        <IsChairman>false</IsChairman>
        <TreatmentStartDate>2023-07-11T12:04:38.887+03:00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יוסף גביזון</FullName>
        <FirstName>יוסף</FirstName>
        <LastName>גביזון</LastName>
        <PartyPropertyName/>
        <AuthenticationTypeAndNumber>מ.ר. 79340</AuthenticationTypeAndNumber>
        <RepresentatedOrRepresentativesNames>אברהם בוזגלו</RepresentatedOrRepresentativesNames>
        <RepresentatedOrRepresentativesCount>1</RepresentatedOrRepresentativesCount>
        <InvitedBy/>
        <CaseID>80417910</CaseID>
        <CaseJudicialPersonPresentationDS>
          <CaseJudicalPersonActive>
            <CaseID>80417910</CaseID>
            <JudicialPersonID>022259600@GOV.IL</JudicialPersonID>
            <JudicialPersonTypeID>1</JudicialPersonTypeID>
            <JudicialTypeID>1</JudicialTypeID>
            <IsChairman>false</IsChairman>
            <TreatmentStartDate>2023-07-11T12:04:38.887+03:00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258446185</CasePartyID>
        <PartyTypeID>2</PartyTypeID>
        <ActivityStatusID>1</ActivityStatusID>
        <PartyAliasID>21</PartyAliasID>
        <PartyAliasName>בא כוח נתבעים</PartyAliasName>
        <LegalEntityID>77048952</LegalEntityID>
        <CaseLegalEntityID>125194999</CaseLegalEntityID>
        <AuthenticationTypeID>4</AuthenticationTypeID>
        <AuthenticationTypeName>מ.ר.</AuthenticationTypeName>
        <LegalEntityNumber>79340</LegalEntityNumber>
        <IsMainPartyType>true</IsMainPartyType>
        <CaseDisplayIdentifier>24176-07-23</CaseDisplayIdentifier>
        <CaseTypeID>10262</CaseTypeID>
        <CaseTypeName>תביעה לאחר הסדר התדיינויות במשפחה (תלה"מ)</CaseTypeName>
        <CaseName>רלבג נ' בוזגלו</CaseName>
        <FullAddress>ביאליק 2 רמלה </FullAddress>
        <EmailAddress>advgabizon@gmail.com</EmailAddress>
        <MotionID>0</MotionID>
        <CasePleaID>0</CasePleaID>
        <LinkedCaseID>0</LinkedCaseID>
        <PartyID>2</PartyID>
        <CasePartyCategoryID>2</CasePartyCategoryID>
        <LegalEntityAddressID>81010532</LegalEntityAddressID>
        <LegalEntityEmailAddressID>67973737</LegalEntityEmailAddressID>
        <PleaTypeID>4</PleaTypeID>
        <LawyerOfficeName>משרד עו"ד יוסף גביזון</LawyerOfficeName>
        <LawyerOfficeID>77048953</LawyerOfficeID>
        <GroupPartyAlias/>
        <IsConverted>false</IsConverted>
        <LegalEntityNameID>85376221</LegalEntityNameID>
        <RepresentatedNamesOfAssistant/>
        <LegalEntityTypeID>4</LegalEntityTypeID>
        <IsVerdictExists>false</IsVerdictExists>
        <IsAsirAzir>false</IsAsirAzir>
        <IsPublicationProhibited>false</IsPublicationProhibited>
        <PublicationProhibitedFullName>יוסף גביזון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נטע רלבג</FullName>
        <FirstName>נטע</FirstName>
        <LastName>רלבג</LastName>
        <PartyPropertyName/>
        <AuthenticationTypeAndNumber>ת"ז 200116135</AuthenticationTypeAndNumber>
        <RepresentatedOrRepresentativesNames>נתנאל ירימי</RepresentatedOrRepresentativesNames>
        <RepresentatedOrRepresentativesCount>1</RepresentatedOrRepresentativesCount>
        <InvitedBy/>
        <CaseID>80417910</CaseID>
        <CaseJudicialPersonPresentationDS>
          <CaseJudicalPersonActive>
            <CaseID>80417910</CaseID>
            <JudicialPersonID>022259600@GOV.IL</JudicialPersonID>
            <JudicialPersonTypeID>1</JudicialPersonTypeID>
            <JudicialTypeID>1</JudicialTypeID>
            <IsChairman>false</IsChairman>
            <TreatmentStartDate>2023-07-11T12:04:38.887+03:00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258196122</CasePartyID>
        <PartyTypeID>1</PartyTypeID>
        <ActivityStatusID>1</ActivityStatusID>
        <PartyAliasID>1</PartyAliasID>
        <PartyAliasName>תובע</PartyAliasName>
        <OrdinalNumber>1</OrdinalNumber>
        <LegalEntityID>81074433</LegalEntityID>
        <CaseLegalEntityID>125118925</CaseLegalEntityID>
        <AuthenticationTypeID>1</AuthenticationTypeID>
        <AuthenticationTypeName>ת"ז</AuthenticationTypeName>
        <LegalEntityNumber>200116135</LegalEntityNumber>
        <IsMainPartyType>true</IsMainPartyType>
        <CaseDisplayIdentifier>24176-07-23</CaseDisplayIdentifier>
        <CaseTypeID>10262</CaseTypeID>
        <CaseTypeName>תביעה לאחר הסדר התדיינויות במשפחה (תלה"מ)</CaseTypeName>
        <CaseName>רלבג נ' בוזגלו</CaseName>
        <FullAddress>גרינשטיין 18 פתח תקווה </FullAddress>
        <MotionID>0</MotionID>
        <CasePleaID>0</CasePleaID>
        <FatherName>יהונתן</FatherName>
        <LinkedCaseID>0</LinkedCaseID>
        <PartyID>1</PartyID>
        <CasePartyCategoryID>2</CasePartyCategoryID>
        <LegalEntityAddressID>88154075</LegalEntityAddressID>
        <PleaTypeID>4</PleaTypeID>
        <GroupPartyAlias>תובעים</GroupPartyAlias>
        <IsConverted>false</IsConverted>
        <LegalEntityRegisteredNameID>10258538</LegalEntityRegisteredNameID>
        <LegalEntityNameID>95156427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נטע רלבג</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נתנאל ירימי</FullName>
        <FirstName>נתנאל</FirstName>
        <LastName>ירימי</LastName>
        <PartyPropertyName/>
        <AuthenticationTypeAndNumber>מ.ר. 16404</AuthenticationTypeAndNumber>
        <RepresentatedOrRepresentativesNames>נטע רלבג</RepresentatedOrRepresentativesNames>
        <RepresentatedOrRepresentativesCount>1</RepresentatedOrRepresentativesCount>
        <InvitedBy/>
        <CaseID>80417910</CaseID>
        <CaseJudicialPersonPresentationDS>
          <CaseJudicalPersonActive>
            <CaseID>80417910</CaseID>
            <JudicialPersonID>022259600@GOV.IL</JudicialPersonID>
            <JudicialPersonTypeID>1</JudicialPersonTypeID>
            <JudicialTypeID>1</JudicialTypeID>
            <IsChairman>false</IsChairman>
            <TreatmentStartDate>2023-07-11T12:04:38.887+03:00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258196123</CasePartyID>
        <PartyTypeID>2</PartyTypeID>
        <ActivityStatusID>1</ActivityStatusID>
        <PartyAliasID>20</PartyAliasID>
        <PartyAliasName>בא כוח תובעים</PartyAliasName>
        <OrdinalNumber>1</OrdinalNumber>
        <LegalEntityID>387239</LegalEntityID>
        <CaseLegalEntityID>125118926</CaseLegalEntityID>
        <AuthenticationTypeID>4</AuthenticationTypeID>
        <AuthenticationTypeName>מ.ר.</AuthenticationTypeName>
        <LegalEntityNumber>16404</LegalEntityNumber>
        <IsMainPartyType>true</IsMainPartyType>
        <CaseDisplayIdentifier>24176-07-23</CaseDisplayIdentifier>
        <CaseTypeID>10262</CaseTypeID>
        <CaseTypeName>תביעה לאחר הסדר התדיינויות במשפחה (תלה"מ)</CaseTypeName>
        <CaseName>רלבג נ' בוזגלו</CaseName>
        <FullAddress>הארבעה 28 תל אביב -יפו </FullAddress>
        <EmailAddress>yarimi@012.net.il</EmailAddress>
        <MotionID>0</MotionID>
        <CasePleaID>0</CasePleaID>
        <FatherName xml:space="preserve">        </FatherName>
        <LinkedCaseID>0</LinkedCaseID>
        <PartyID>1</PartyID>
        <CasePartyCategoryID>2</CasePartyCategoryID>
        <LegalEntityAddressID>83013503</LegalEntityAddressID>
        <LegalEntityEmailAddressID>68062629</LegalEntityEmailAddressID>
        <PleaTypeID>4</PleaTypeID>
        <LawyerOfficeName>משרד עו"ד: נתנאל ירימי</LawyerOfficeName>
        <LawyerOfficeID>427883</LawyerOfficeID>
        <GroupPartyAlias/>
        <IsConverted>false</IsConverted>
        <LegalEntityNameID>8223</LegalEntityNameID>
        <RepresentatedNamesOfAssistant/>
        <LegalEntityTypeID>4</LegalEntityTypeID>
        <IsVerdictExists>false</IsVerdictExists>
        <IsAsirAzir>false</IsAsirAzir>
        <IsPublicationProhibited>false</IsPublicationProhibited>
        <PublicationProhibitedFullName>נתנאל ירימי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אברהם בוזגלו</FullName>
        <FirstName>אברהם</FirstName>
        <LastName>בוזגלו</LastName>
        <PartyPropertyName/>
        <AuthenticationTypeAndNumber>ת"ז 040441537</AuthenticationTypeAndNumber>
        <RepresentatedOrRepresentativesNames>יוסף גביזון</RepresentatedOrRepresentativesNames>
        <RepresentatedOrRepresentativesCount>1</RepresentatedOrRepresentativesCount>
        <InvitedBy/>
        <CaseID>80417910</CaseID>
        <CaseJudicialPersonPresentationDS>
          <CaseJudicalPersonActive>
            <CaseID>80417910</CaseID>
            <JudicialPersonID>022259600@GOV.IL</JudicialPersonID>
            <JudicialPersonTypeID>1</JudicialPersonTypeID>
            <JudicialTypeID>1</JudicialTypeID>
            <IsChairman>false</IsChairman>
            <TreatmentStartDate>2023-07-11T12:04:38.887+03:00</TreatmentStartDate>
            <TreatmentFinishDate>9999-12-31T23:59:59+02:00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258196124</CasePartyID>
        <PartyTypeID>1</PartyTypeID>
        <ActivityStatusID>1</ActivityStatusID>
        <PartyAliasID>2</PartyAliasID>
        <PartyAliasName>נתבע</PartyAliasName>
        <OrdinalNumber>1</OrdinalNumber>
        <LegalEntityID>58025499</LegalEntityID>
        <CaseLegalEntityID>125118927</CaseLegalEntityID>
        <AuthenticationTypeID>1</AuthenticationTypeID>
        <AuthenticationTypeName>ת"ז</AuthenticationTypeName>
        <LegalEntityNumber>040441537</LegalEntityNumber>
        <IsMainPartyType>true</IsMainPartyType>
        <CaseDisplayIdentifier>24176-07-23</CaseDisplayIdentifier>
        <CaseTypeID>10262</CaseTypeID>
        <CaseTypeName>תביעה לאחר הסדר התדיינויות במשפחה (תלה"מ)</CaseTypeName>
        <CaseName>רלבג נ' בוזגלו</CaseName>
        <FullAddress>גרינשטיין 18 פתח תקווה </FullAddress>
        <EmailAddress>advgabizon@gmail.com</EmailAddress>
        <MotionID>0</MotionID>
        <CasePleaID>0</CasePleaID>
        <FatherName>אליהו</FatherName>
        <LinkedCaseID>0</LinkedCaseID>
        <PartyID>2</PartyID>
        <CasePartyCategoryID>2</CasePartyCategoryID>
        <LegalEntityAddressID>88154076</LegalEntityAddressID>
        <LegalEntityEmailAddressID>68285350</LegalEntityEmailAddressID>
        <PleaTypeID>4</PleaTypeID>
        <GroupPartyAlias>נתבעים</GroupPartyAlias>
        <IsConverted>false</IsConverted>
        <LegalEntityRegisteredNameID>8846979</LegalEntityRegisteredNameID>
        <LegalEntityNameID>95156428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אברהם בוזגלו</PublicationProhibitedFullName>
      </CaseParties>
    </CasePartiesSelectionDS>
    <CaseName>רלבג נ' בוזגלו</CaseName>
    <CaseDisplayIdentifier>24176-07-23</CaseDisplayIdentifier>
    <CaseInterestID>10118</CaseInterestID>
    <CaseTypeShortName>תלה"מ</CaseTypeShortName>
  </dt_DecisionCase>
  <dt_DecisionJudgePanel>
    <JudgeID>022259600@GOV.IL</JudgeID>
    <DisplayName>אפרת ונקרט</DisplayName>
    <RoleName>שופט</RoleName>
    <UserTitleName>שופטת</UserTitleName>
  </dt_DecisionJudgePanel>
  <dt_LegalEntityDetails>
    <Fax>08-9257402</Fax>
    <Phone>052-6435250</Phone>
    <PartyID>2</PartyID>
    <PartyTypeID>2</PartyTypeID>
    <DecisionID>0</DecisionID>
    <StreetName>ביאליק 2</StreetName>
    <ZipCode>72355</ZipCode>
    <CityName>רמלה</CityName>
    <FullName>יוסף גביזון</FullName>
    <Email>advgabizon@gmail.com</Email>
    <IsPublicationProhibited>false</IsPublicationProhibited>
  </dt_LegalEntityDetails>
  <dt_LegalEntityDetails>
    <PartyID>1</PartyID>
    <PartyTypeID>1</PartyTypeID>
    <DecisionID>0</DecisionID>
    <StreetName>גרינשטיין 18</StreetName>
    <CityName>פתח תקווה</CityName>
    <FullName>נטע רלבג</FullName>
    <IsPublicationProhibited>false</IsPublicationProhibited>
  </dt_LegalEntityDetails>
  <dt_LegalEntityDetails>
    <Fax>076-5100549</Fax>
    <Phone>076-5384309</Phone>
    <AddressDesc/>
    <PartyID>1</PartyID>
    <PartyTypeID>2</PartyTypeID>
    <DecisionID>0</DecisionID>
    <StreetName>הארבעה 28 </StreetName>
    <ZipCode>6473925</ZipCode>
    <CityName>תל אביב -יפו</CityName>
    <FullName>נתנאל ירימי</FullName>
    <Email>yarimi@012.net.il</Email>
    <IsPublicationProhibited>false</IsPublicationProhibited>
  </dt_LegalEntityDetails>
  <dt_LegalEntityDetails>
    <PartyID>2</PartyID>
    <PartyTypeID>1</PartyTypeID>
    <DecisionID>0</DecisionID>
    <StreetName>גרינשטיין 18</StreetName>
    <CityName>פתח תקווה</CityName>
    <FullName>אברהם בוזגלו</FullName>
    <Email>advgabizon@gmail.com</Email>
    <IsPublicationProhibited>false</IsPublicationProhibited>
  </dt_LegalEntityDetails>
  <dt_CaseJudicalPersonActive>
    <CaseJudicalPerson>שופטת אפרת ונקרט</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62A5A-EA76-40DB-A31A-4483E38891B3}">
  <ds:schemaRefs/>
</ds:datastoreItem>
</file>

<file path=customXml/itemProps2.xml><?xml version="1.0" encoding="utf-8"?>
<ds:datastoreItem xmlns:ds="http://schemas.openxmlformats.org/officeDocument/2006/customXml" ds:itemID="{A6779D01-4CC6-441D-9009-437F8BAE4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1389</Words>
  <Characters>6950</Characters>
  <Application>Microsoft Office Word</Application>
  <DocSecurity>0</DocSecurity>
  <Lines>57</Lines>
  <Paragraphs>16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2023-11-09T07:28:00Z</dcterms:created>
  <dcterms:modified xsi:type="dcterms:W3CDTF">2023-11-09T07:28:00Z</dcterms:modified>
</cp:coreProperties>
</file>